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F54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索县应急管理局2024年法治政府建设</w:t>
      </w:r>
    </w:p>
    <w:p w14:paraId="4C4D2C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情况报告</w:t>
      </w:r>
    </w:p>
    <w:p w14:paraId="025523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BBDB6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索县应急管理局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坚持以习近平新时代中国特色社会主义思想为指导，全面贯彻落实党的二十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大精神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，深入学习宣传贯彻习近平法治思想，</w:t>
      </w:r>
      <w:r>
        <w:rPr>
          <w:rFonts w:ascii="Times New Roman" w:hAnsi="Times New Roman" w:eastAsia="方正仿宋简体" w:cs="Times New Roman"/>
          <w:sz w:val="32"/>
          <w:szCs w:val="32"/>
        </w:rPr>
        <w:t>紧紧围绕发展改革中心任务，将法治建设贯穿经济社会发展的全过程，加强各项工作制度化、规范化、法治化水平，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突出法治政府建设重点领域和关键环节，狠抓安全生产、应急管理、防灾减灾救灾等各项措施，</w:t>
      </w:r>
      <w:r>
        <w:rPr>
          <w:rFonts w:ascii="Times New Roman" w:hAnsi="Times New Roman" w:eastAsia="方正仿宋简体" w:cs="Times New Roman"/>
          <w:sz w:val="32"/>
          <w:szCs w:val="32"/>
        </w:rPr>
        <w:t>为建设“法治索县”而作出不懈努力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简体" w:cs="Times New Roman"/>
          <w:sz w:val="32"/>
          <w:szCs w:val="32"/>
        </w:rPr>
        <w:t>现将法治政府建设工作开展情况报告如下：</w:t>
      </w:r>
    </w:p>
    <w:p w14:paraId="368B2D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一、主要措施及成效</w:t>
      </w:r>
    </w:p>
    <w:p w14:paraId="1EA37B8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516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</w:rPr>
        <w:t>（一）坚持学习贯彻习近平法治思想。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党支部专题学习中央全面依法治国工作会议、中央依法治国委员会会议精神和习近平总书记重要讲话、重要指示批示精神，积极贯彻落实工作。传达学习习近平总书记关于法治建设的新论述、新指示，推动习近平法治思想入脑入心、走深走实。开展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把《习近平法治思想学习纲要》作为党支部学习、培训、党员学习的重要内容，加强对习近平法治思想重大意义、核心要义、精神实质、丰富内涵、实践要求的学习，提高自觉运用习近平法治思想指导解决实际问题的能力。积极组织党员干部职工集中学习二十大精神、习近平法治思想、《宪法》《民法典》《宗教事务条例》《西藏自治区平安建设条例》《西藏自治区国家生态文明高地建设条例》《西藏自治区环境保护条例》《西藏自治区民族团结进步模范区创建条例》等条例并开展学习研讨。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累计组织开展集中学习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49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余次，参加人数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185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人；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开展讨论交流会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17次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，参加人数达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60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余人；开展理论知识测试</w:t>
      </w:r>
      <w:r>
        <w:rPr>
          <w:rFonts w:hint="eastAsia" w:ascii="Times New Roman" w:hAnsi="Times New Roman" w:eastAsia="仿宋" w:cs="Times New Roman"/>
          <w:sz w:val="32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以正面典型为导向，以反面例子为衬托，围绕改进作风和履行职责，观看《偏航的领头雁》《贪欲之害》《零容忍》等警示教育片。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学习典型案例</w:t>
      </w:r>
      <w:r>
        <w:rPr>
          <w:rFonts w:hint="eastAsia" w:ascii="Times New Roman" w:hAnsi="Times New Roman" w:eastAsia="仿宋" w:cs="Times New Roman"/>
          <w:sz w:val="32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次，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观看警示教育片</w:t>
      </w: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次，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参观展区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1次。</w:t>
      </w:r>
    </w:p>
    <w:p w14:paraId="5EED47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</w:rPr>
        <w:t>（</w:t>
      </w: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</w:rPr>
        <w:t>）体制机制进一步健全。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加强预案体系建设，制定完善《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索县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突发事件总体预案》《自然灾害救助应急预案》等预案机制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索县安全生产委员会2024年工作要点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》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索县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政府领导安全生产和防灾减灾救灾职责任务清单》，下发《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索县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安委办关于开展全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安全生产隐患攻坚专项整治行动方案》《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索县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重点成员单位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年安全生产、防灾减灾重点任务清单》《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索县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安全生产治本攻坚三年行动实施方案（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2024-2026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）》等方案。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eastAsia="方正仿宋简体"/>
          <w:sz w:val="32"/>
          <w:szCs w:val="32"/>
        </w:rPr>
        <w:t>为进一步加强全</w:t>
      </w:r>
      <w:r>
        <w:rPr>
          <w:rFonts w:hint="eastAsia" w:eastAsia="方正仿宋简体"/>
          <w:sz w:val="32"/>
          <w:szCs w:val="32"/>
          <w:lang w:val="en-US" w:eastAsia="zh-CN"/>
        </w:rPr>
        <w:t>县</w:t>
      </w:r>
      <w:r>
        <w:rPr>
          <w:rFonts w:hint="eastAsia" w:eastAsia="方正仿宋简体"/>
          <w:sz w:val="32"/>
          <w:szCs w:val="32"/>
        </w:rPr>
        <w:t>基层应急管理体系和能力建设，推动构建大安全大应急框架，全面提高基层安全生产、防灾减灾救灾能力和水平，有效防范应对安全生产和自然灾害突发事件，维护人民群众生命财产安全</w:t>
      </w:r>
      <w:r>
        <w:rPr>
          <w:rFonts w:hint="eastAsia" w:eastAsia="方正仿宋简体"/>
          <w:sz w:val="32"/>
          <w:szCs w:val="32"/>
          <w:lang w:eastAsia="zh-CN"/>
        </w:rPr>
        <w:t>。</w:t>
      </w:r>
      <w:r>
        <w:rPr>
          <w:rFonts w:hint="eastAsia" w:eastAsia="方正仿宋简体"/>
          <w:sz w:val="32"/>
          <w:szCs w:val="32"/>
          <w:lang w:val="en-US" w:eastAsia="zh-CN"/>
        </w:rPr>
        <w:t>我县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eastAsia="方正仿宋简体"/>
          <w:sz w:val="32"/>
          <w:szCs w:val="32"/>
          <w:lang w:val="en-US" w:eastAsia="zh-CN"/>
        </w:rPr>
        <w:t>个乡（镇）</w:t>
      </w:r>
      <w:r>
        <w:rPr>
          <w:rFonts w:hint="eastAsia" w:eastAsia="方正仿宋简体"/>
          <w:sz w:val="32"/>
          <w:szCs w:val="32"/>
          <w:lang w:eastAsia="zh-CN"/>
        </w:rPr>
        <w:t>依托乡镇综治中心，打造应急管理“一线指挥部”，</w:t>
      </w:r>
      <w:r>
        <w:rPr>
          <w:rFonts w:hint="eastAsia" w:eastAsia="方正仿宋简体"/>
          <w:sz w:val="32"/>
          <w:szCs w:val="32"/>
        </w:rPr>
        <w:t>根据工作任务轻重，合理</w:t>
      </w:r>
      <w:r>
        <w:rPr>
          <w:rFonts w:hint="eastAsia" w:eastAsia="方正仿宋简体"/>
          <w:sz w:val="32"/>
          <w:szCs w:val="32"/>
          <w:lang w:eastAsia="zh-CN"/>
        </w:rPr>
        <w:t>明确</w:t>
      </w:r>
      <w:r>
        <w:rPr>
          <w:rFonts w:hint="eastAsia" w:eastAsia="方正仿宋简体"/>
          <w:sz w:val="32"/>
          <w:szCs w:val="32"/>
          <w:lang w:val="en-US" w:eastAsia="zh-CN"/>
        </w:rPr>
        <w:t>各</w:t>
      </w:r>
      <w:r>
        <w:rPr>
          <w:rFonts w:hint="eastAsia" w:eastAsia="方正仿宋简体"/>
          <w:sz w:val="32"/>
          <w:szCs w:val="32"/>
        </w:rPr>
        <w:t>乡</w:t>
      </w:r>
      <w:r>
        <w:rPr>
          <w:rFonts w:hint="eastAsia" w:eastAsia="方正仿宋简体"/>
          <w:sz w:val="32"/>
          <w:szCs w:val="32"/>
          <w:lang w:eastAsia="zh-CN"/>
        </w:rPr>
        <w:t>（</w:t>
      </w:r>
      <w:r>
        <w:rPr>
          <w:rFonts w:hint="eastAsia" w:eastAsia="方正仿宋简体"/>
          <w:sz w:val="32"/>
          <w:szCs w:val="32"/>
        </w:rPr>
        <w:t>镇</w:t>
      </w:r>
      <w:r>
        <w:rPr>
          <w:rFonts w:hint="eastAsia" w:eastAsia="方正仿宋简体"/>
          <w:sz w:val="32"/>
          <w:szCs w:val="32"/>
          <w:lang w:eastAsia="zh-CN"/>
        </w:rPr>
        <w:t>）</w:t>
      </w:r>
      <w:r>
        <w:rPr>
          <w:rFonts w:hint="eastAsia" w:eastAsia="方正仿宋简体"/>
          <w:sz w:val="32"/>
          <w:szCs w:val="32"/>
        </w:rPr>
        <w:t>应急管理站专兼职工作人员，</w:t>
      </w:r>
      <w:r>
        <w:rPr>
          <w:rFonts w:hint="eastAsia" w:eastAsia="方正仿宋简体"/>
          <w:sz w:val="32"/>
          <w:szCs w:val="32"/>
          <w:lang w:eastAsia="zh-CN"/>
        </w:rPr>
        <w:t>乡镇</w:t>
      </w:r>
      <w:r>
        <w:rPr>
          <w:rFonts w:hint="eastAsia" w:eastAsia="方正仿宋简体"/>
          <w:sz w:val="32"/>
          <w:szCs w:val="32"/>
        </w:rPr>
        <w:t>应急管理站站长由政法委员兼任，不断提升</w:t>
      </w:r>
      <w:r>
        <w:rPr>
          <w:rFonts w:hint="eastAsia" w:eastAsia="方正仿宋简体"/>
          <w:sz w:val="32"/>
          <w:szCs w:val="32"/>
          <w:lang w:val="en-US" w:eastAsia="zh-CN"/>
        </w:rPr>
        <w:t>各</w:t>
      </w:r>
      <w:r>
        <w:rPr>
          <w:rFonts w:hint="eastAsia" w:eastAsia="方正仿宋简体"/>
          <w:sz w:val="32"/>
          <w:szCs w:val="32"/>
        </w:rPr>
        <w:t>乡</w:t>
      </w:r>
      <w:r>
        <w:rPr>
          <w:rFonts w:hint="eastAsia" w:eastAsia="方正仿宋简体"/>
          <w:sz w:val="32"/>
          <w:szCs w:val="32"/>
          <w:lang w:eastAsia="zh-CN"/>
        </w:rPr>
        <w:t>（</w:t>
      </w:r>
      <w:r>
        <w:rPr>
          <w:rFonts w:hint="eastAsia" w:eastAsia="方正仿宋简体"/>
          <w:sz w:val="32"/>
          <w:szCs w:val="32"/>
        </w:rPr>
        <w:t>镇</w:t>
      </w:r>
      <w:r>
        <w:rPr>
          <w:rFonts w:hint="eastAsia" w:eastAsia="方正仿宋简体"/>
          <w:sz w:val="32"/>
          <w:szCs w:val="32"/>
          <w:lang w:eastAsia="zh-CN"/>
        </w:rPr>
        <w:t>）</w:t>
      </w:r>
      <w:r>
        <w:rPr>
          <w:rFonts w:hint="eastAsia" w:eastAsia="方正仿宋简体"/>
          <w:sz w:val="32"/>
          <w:szCs w:val="32"/>
        </w:rPr>
        <w:t>应急管理工作人员能力素质。</w:t>
      </w:r>
      <w:r>
        <w:rPr>
          <w:rFonts w:hint="eastAsia" w:eastAsia="方正仿宋简体"/>
          <w:sz w:val="32"/>
          <w:szCs w:val="32"/>
          <w:lang w:val="en-US" w:eastAsia="zh-CN"/>
        </w:rPr>
        <w:t>目前县、乡、村共有基层应急力量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5500</w:t>
      </w:r>
      <w:r>
        <w:rPr>
          <w:rFonts w:hint="eastAsia" w:eastAsia="方正仿宋简体"/>
          <w:sz w:val="32"/>
          <w:szCs w:val="32"/>
          <w:lang w:val="en-US" w:eastAsia="zh-CN"/>
        </w:rPr>
        <w:t>人。</w:t>
      </w:r>
    </w:p>
    <w:p w14:paraId="257432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</w:rPr>
        <w:t>（</w:t>
      </w: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</w:rPr>
        <w:t>）安全生产工作纵深推进。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加强危化品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工贸领域的行业部门监管力度，坚持监管执法等紧密融合，规范各企业安全生产管理，强化重点时段、重大活动期间安全风险管控和事故防控，推进危险化学品精细化监管，对重大危险源、开展常态化督导检查。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安委办共组织各相关部门开展执法（督导）检查共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开展执法检查527次、检查单位企业500家、发现隐患875起、立即整改732起、限期整改143起、行政处罚114340元政府挂牌督办1起、通报曝光约谈30家、指导帮扶企业59家。</w:t>
      </w:r>
    </w:p>
    <w:p w14:paraId="0A6773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</w:rPr>
        <w:t>（</w:t>
      </w: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</w:rPr>
        <w:t>）全面提升防灾减灾救灾能力水平。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强化组织部署，定期组织召开全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防汛抗旱、森林草原防灭火、防震减灾等重点工作部署会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明确工作任务，抓实抓细防灾减灾救灾各项工作。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强化灾害风险监测预警，积极对接气象、水利、自然资源等部门，共享预报预警信息，及时了解掌握自然灾害风险动态，并深入自然灾害风险隐患点开展全方位隐患排查整治。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强化应急物资准备，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目前乡级仓库7家，村级仓库17家，应急物资储备规模物资共48773件套，（其中自治区代储物资23606件套，价值约451.56万元：那曲市代储物资6112件套，价值约165.77万元；县本机储备物资19055件套，价值约74.33万元）。疫情调拨三级应急抢险救灾物资共1344件，（其中自治区储备889件套；市级储备20件套；县级储备435件套）当前剩余储备物资数量共47429件套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形成布局合理、点面结合的应急物资保障体系。</w:t>
      </w:r>
    </w:p>
    <w:p w14:paraId="1C9BF6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</w:rPr>
        <w:t>（</w:t>
      </w: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</w:rPr>
        <w:t>）强化行政执法检查。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根据不同行业特点和风险状况，制定年度应急管理执法检查计划。将重点企业、高风险企业纳入重点检查对象，合理安排检查频次，确保对监管范围内企业的全面覆盖。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通过推广应用“互联网+执法”系统，实现应急管理执法工作精准化、规范化执法，信息化，标准化。以专项执法保持监管高压态势。聚焦全员化执法和精准化监管，更好发挥执法作用，筑牢安全屏障。    </w:t>
      </w:r>
    </w:p>
    <w:p w14:paraId="7B20E3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</w:rPr>
        <w:t>（</w:t>
      </w: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方正楷体简体" w:hAnsi="Times New Roman" w:eastAsia="方正楷体简体" w:cs="Times New Roman"/>
          <w:sz w:val="32"/>
          <w:szCs w:val="32"/>
          <w:shd w:val="clear" w:color="auto" w:fill="FFFFFF"/>
        </w:rPr>
        <w:t>）应急宣传教育成效明显。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自今年以来，我局结合工作实际开展了形式多样的法治政府建设系列宣传活动。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22"/>
          <w:lang w:val="en-US" w:eastAsia="zh-CN" w:bidi="ar-SA"/>
        </w:rPr>
        <w:t>县安委办深入开展安全生产、防灾减灾救灾宣传活动、以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5.12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22"/>
          <w:lang w:val="en-US" w:eastAsia="zh-CN" w:bidi="ar-SA"/>
        </w:rPr>
        <w:t>防灾减灾日、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22"/>
          <w:lang w:val="en-US" w:eastAsia="zh-CN" w:bidi="ar-SA"/>
        </w:rPr>
        <w:t>月安全生产月、虫草采挖、那曲市第十四届魅力虫草展销会暨索县第三届“乡村振兴、那曲奋进”活动成果展等重要节点为契机，县安委办认真组织各成员单位结合各自业务特点，通过在主要路段悬挂横幅，发放安全生产、防灾减灾知识手册、宣传单，发放宣传物品、政策咨询等多种形式，广泛进行安全生产、防灾减灾知识宣传。各安委会成员单位和乡（镇）发放了各类宣传资料共计宣传资料共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8600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22"/>
          <w:lang w:val="en-US" w:eastAsia="zh-CN" w:bidi="ar-SA"/>
        </w:rPr>
        <w:t>余份，宣传品雨衣、雨伞、指甲刀、卫生纸、编织袋等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22"/>
          <w:lang w:val="en-US" w:eastAsia="zh-CN" w:bidi="ar-SA"/>
        </w:rPr>
        <w:t>余份，悬挂横幅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22"/>
          <w:lang w:val="en-US" w:eastAsia="zh-CN" w:bidi="ar-SA"/>
        </w:rPr>
        <w:t>余份，受教育群众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21000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22"/>
          <w:lang w:val="en-US" w:eastAsia="zh-CN" w:bidi="ar-SA"/>
        </w:rPr>
        <w:t>人次。</w:t>
      </w:r>
    </w:p>
    <w:p w14:paraId="5ADD55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二、存在的不足  </w:t>
      </w:r>
    </w:p>
    <w:p w14:paraId="2EB1B2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在法治政府建设的方式方法上缺乏灵活性，需要进一步探索创新法治宣传教育的新方法、新措施。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队伍的整体执法水平和依法行政能力还需进一步增强。安全监管点多面广，风险管控难度高。加之机构改革后，划入了防汛抗旱、森林防火、防灾减灾等多项职能，现有执法力量、能力与监管执法工作实际需要仍有差距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大面积向社会开展安全法治宣传的力度还不够，宣传面不够广，全民安全法治意识仍有待提高。   </w:t>
      </w:r>
    </w:p>
    <w:p w14:paraId="62CAD5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三、下一步工作安排</w:t>
      </w:r>
    </w:p>
    <w:p w14:paraId="0BAAB5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不断加强学习，不断增强法治意识。通过局党支部学习活动，加强对党的二十大精神、党的二十届三中全会和习近平法治思想以及相关法律法规的学习。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补强工作短板，提升执法规范。补齐法治政府建设中制度体系短板，加强行政执法技能培训，争取行政执法装备保障，严格行政执法法定程序。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宣传形式，拓展深度广度。多角度、多维度、多层次开展法治宣传，深入推进安全生产“八进”，持续落实“谁执法谁普法”普法责任制。加强与媒体的沟通合作，扩大法治宣传的覆盖面和影响力。切实提升普法实效，促进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安全生产形势的持续稳定。</w:t>
      </w:r>
    </w:p>
    <w:p w14:paraId="6A929E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AD80BF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BDE07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5440" w:firstLineChars="1700"/>
        <w:textAlignment w:val="auto"/>
        <w:rPr>
          <w:rFonts w:hint="default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C9BD48F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A32E0"/>
    <w:rsid w:val="19D60E3A"/>
    <w:rsid w:val="2288155B"/>
    <w:rsid w:val="23C13C0E"/>
    <w:rsid w:val="38543812"/>
    <w:rsid w:val="4B692966"/>
    <w:rsid w:val="53B5329A"/>
    <w:rsid w:val="57DA1D5C"/>
    <w:rsid w:val="680B4376"/>
    <w:rsid w:val="6C1D0CBE"/>
    <w:rsid w:val="6C71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2613</Words>
  <Characters>2722</Characters>
  <Lines>0</Lines>
  <Paragraphs>0</Paragraphs>
  <TotalTime>4</TotalTime>
  <ScaleCrop>false</ScaleCrop>
  <LinksUpToDate>false</LinksUpToDate>
  <CharactersWithSpaces>2731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2025-05-21T04:00:00Z</dcterms:created>
  <dc:creator>lenovo</dc:creator>
  <cp:lastModifiedBy>呵呵</cp:lastModifiedBy>
  <dcterms:modified xsi:type="dcterms:W3CDTF">2025-05-27T09:38:52Z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eyJoZGlkIjoiNzM1MTdiMGQxYThmMmQ3OWY3NzFlYzM3NWNiODhjZWUiLCJ1c2VySWQiOiIzNTAzNzE0MTAifQ==</vt:lpwstr>
  </property>
  <property fmtid="{D5CDD505-2E9C-101B-9397-08002B2CF9AE}" pid="4" name="ICV">
    <vt:lpwstr>50073BFB81654D2BAB826CF8354157FD_12</vt:lpwstr>
  </property>
</Properties>
</file>