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bookmarkStart w:id="0" w:name="_GoBack"/>
      <w:bookmarkEnd w:id="0"/>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索县热瓦乡小学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索县热瓦乡小学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索县热瓦乡小学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索县热瓦乡小学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2255B305">
      <w:pPr>
        <w:jc w:val="center"/>
        <w:rPr>
          <w:rFonts w:hint="eastAsia" w:ascii="方正小标宋简体" w:hAnsi="仿宋" w:eastAsia="方正小标宋简体"/>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索县热瓦乡小学概</w:t>
      </w:r>
      <w:r>
        <w:rPr>
          <w:rFonts w:hint="eastAsia" w:ascii="方正小标宋简体" w:hAnsi="仿宋" w:eastAsia="方正小标宋简体"/>
          <w:sz w:val="32"/>
          <w:szCs w:val="32"/>
        </w:rPr>
        <w:t>况</w:t>
      </w:r>
    </w:p>
    <w:p w14:paraId="738A36F2">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热瓦乡小学是一所具有深厚历史底蕴与卓越教育品质的公立小学，坐落于索县热瓦乡3村，周边环境优美，交通便利，为学生提供了良好的学习和生活环境。学校占地面积11800平方米，建筑面积1374平方米，拥有现代化的教学楼、实验楼、体育馆、图书馆等教学设施，教学设备先进，功能齐全，为素质教育的全面实施提供了坚实保障。</w:t>
      </w:r>
    </w:p>
    <w:p w14:paraId="5DEF02B0">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校现有4个教学班，学生31人，专任教师9人。教师队伍学历层次高，业务能力强，其中本科及以上学历教师占比27％，中高级职称教师占比63%，多名教师荣获市、区“优秀教师”“骨干教师”“教学能手”等荣誉称号，在教育教学领域取得了丰硕的成果。多年来，学校秉承“[用心教好每一位学生”的办学宗旨，坚持立德树人，注重学生的全面发展和个性培养，形成了鲜明的办学特色。在全体师生的共同努力下，学校教育教学质量稳步提升，赢得了社会各界的广泛赞誉和家长的高度认可。</w:t>
      </w:r>
    </w:p>
    <w:p w14:paraId="139776CE">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索县热瓦乡小学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73B03E32">
      <w:pPr>
        <w:jc w:val="both"/>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索县热瓦乡小学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3D949A43">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年收支总预算457.58万元，财政拨款收入457.58万元。收入包括：一般公共预算拨款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收入453.38万元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一般公共预算上年结转4.20万元</w:t>
      </w:r>
      <w:r>
        <w:rPr>
          <w:rFonts w:hint="eastAsia" w:ascii="仿宋" w:hAnsi="仿宋" w:eastAsia="仿宋"/>
          <w:sz w:val="32"/>
          <w:szCs w:val="32"/>
        </w:rPr>
        <w:t>；支出包括：教育支出371.71万元、社会保障和就业支出42.43万元、卫生健康支出21.95万元、住房保障支出21.49万元。</w:t>
      </w:r>
      <w:r>
        <w:rPr>
          <w:rFonts w:hint="eastAsia"/>
          <w:lang w:val="en-US" w:eastAsia="zh-CN"/>
        </w:rPr>
        <w:t xml:space="preserve">      </w:t>
      </w:r>
      <w:r>
        <w:drawing>
          <wp:inline distT="0" distB="0" distL="114300" distR="114300">
            <wp:extent cx="4819015" cy="2065020"/>
            <wp:effectExtent l="4445" t="4445" r="7620" b="1841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当年收入预算453.38万元，其中：一般公共预算拨款收入总额453.38万元。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457.58</w:t>
      </w:r>
      <w:r>
        <w:rPr>
          <w:rFonts w:hint="eastAsia" w:ascii="仿宋" w:hAnsi="仿宋" w:eastAsia="仿宋"/>
          <w:sz w:val="36"/>
          <w:szCs w:val="36"/>
        </w:rPr>
        <w:t>万元，其中：基本支出456.58万元，占</w:t>
      </w:r>
      <w:r>
        <w:rPr>
          <w:rFonts w:hint="eastAsia" w:ascii="仿宋" w:hAnsi="仿宋" w:eastAsia="仿宋"/>
          <w:sz w:val="36"/>
          <w:szCs w:val="36"/>
          <w:lang w:val="en-US" w:eastAsia="zh-CN"/>
        </w:rPr>
        <w:t>99.78</w:t>
      </w:r>
      <w:r>
        <w:rPr>
          <w:rFonts w:hint="eastAsia" w:ascii="仿宋" w:hAnsi="仿宋" w:eastAsia="仿宋"/>
          <w:sz w:val="36"/>
          <w:szCs w:val="36"/>
        </w:rPr>
        <w:t>%；项目支出1.00万元，占</w:t>
      </w:r>
      <w:r>
        <w:rPr>
          <w:rFonts w:hint="eastAsia" w:ascii="仿宋" w:hAnsi="仿宋" w:eastAsia="仿宋"/>
          <w:sz w:val="36"/>
          <w:szCs w:val="36"/>
          <w:lang w:val="en-US" w:eastAsia="zh-CN"/>
        </w:rPr>
        <w:t>0.22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总预算457.58万元。202</w:t>
      </w:r>
      <w:r>
        <w:rPr>
          <w:rFonts w:hint="eastAsia" w:ascii="仿宋" w:hAnsi="仿宋" w:eastAsia="仿宋"/>
          <w:sz w:val="32"/>
          <w:szCs w:val="32"/>
          <w:lang w:val="en-US" w:eastAsia="zh-CN"/>
        </w:rPr>
        <w:t>5</w:t>
      </w:r>
      <w:r>
        <w:rPr>
          <w:rFonts w:hint="eastAsia" w:ascii="仿宋" w:hAnsi="仿宋" w:eastAsia="仿宋"/>
          <w:sz w:val="32"/>
          <w:szCs w:val="32"/>
        </w:rPr>
        <w:t>年总预算资金为457.58万元；202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年年初预算下达支出包括：教育支出371.71万元、社会保障和就业支出42.43万元、卫生健康支出21.95万元、住房保障支出21.49万元。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2025年一般公共预算当年拨款457.58万元,比2024 年执行数</w:t>
      </w:r>
      <w:r>
        <w:rPr>
          <w:rFonts w:hint="eastAsia" w:ascii="仿宋" w:hAnsi="仿宋" w:eastAsia="仿宋"/>
          <w:sz w:val="32"/>
          <w:szCs w:val="32"/>
          <w:lang w:val="en-US" w:eastAsia="zh-CN"/>
        </w:rPr>
        <w:t>(51.94万元)增加</w:t>
      </w:r>
      <w:r>
        <w:rPr>
          <w:rFonts w:hint="eastAsia" w:ascii="仿宋" w:hAnsi="仿宋" w:eastAsia="仿宋"/>
          <w:sz w:val="32"/>
          <w:szCs w:val="32"/>
          <w:u w:val="none"/>
          <w:lang w:val="en-US" w:eastAsia="zh-CN"/>
        </w:rPr>
        <w:t>405.64</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371.71万元</w:t>
      </w:r>
      <w:r>
        <w:rPr>
          <w:rFonts w:hint="eastAsia" w:ascii="仿宋" w:hAnsi="仿宋" w:eastAsia="仿宋"/>
          <w:sz w:val="32"/>
          <w:szCs w:val="32"/>
          <w:lang w:eastAsia="zh-CN"/>
        </w:rPr>
        <w:t>，</w:t>
      </w:r>
      <w:r>
        <w:rPr>
          <w:rFonts w:hint="eastAsia" w:ascii="仿宋" w:hAnsi="仿宋" w:eastAsia="仿宋"/>
          <w:sz w:val="32"/>
          <w:szCs w:val="32"/>
          <w:lang w:val="en-US" w:eastAsia="zh-CN"/>
        </w:rPr>
        <w:t>占81%；</w:t>
      </w:r>
      <w:r>
        <w:rPr>
          <w:rFonts w:hint="eastAsia" w:ascii="仿宋" w:hAnsi="仿宋" w:eastAsia="仿宋"/>
          <w:sz w:val="32"/>
          <w:szCs w:val="32"/>
        </w:rPr>
        <w:t>社会保障和就业支出42.43万元</w:t>
      </w:r>
      <w:r>
        <w:rPr>
          <w:rFonts w:hint="eastAsia" w:ascii="仿宋" w:hAnsi="仿宋" w:eastAsia="仿宋"/>
          <w:sz w:val="32"/>
          <w:szCs w:val="32"/>
          <w:lang w:eastAsia="zh-CN"/>
        </w:rPr>
        <w:t>，</w:t>
      </w:r>
      <w:r>
        <w:rPr>
          <w:rFonts w:hint="eastAsia" w:ascii="仿宋" w:hAnsi="仿宋" w:eastAsia="仿宋"/>
          <w:sz w:val="32"/>
          <w:szCs w:val="32"/>
          <w:lang w:val="en-US" w:eastAsia="zh-CN"/>
        </w:rPr>
        <w:t>占9%；</w:t>
      </w:r>
      <w:r>
        <w:rPr>
          <w:rFonts w:hint="eastAsia" w:ascii="仿宋" w:hAnsi="仿宋" w:eastAsia="仿宋"/>
          <w:sz w:val="32"/>
          <w:szCs w:val="32"/>
        </w:rPr>
        <w:t>卫生健康支出21.95万元</w:t>
      </w:r>
      <w:r>
        <w:rPr>
          <w:rFonts w:hint="eastAsia" w:ascii="仿宋" w:hAnsi="仿宋" w:eastAsia="仿宋"/>
          <w:sz w:val="32"/>
          <w:szCs w:val="32"/>
          <w:lang w:eastAsia="zh-CN"/>
        </w:rPr>
        <w:t>，</w:t>
      </w:r>
      <w:r>
        <w:rPr>
          <w:rFonts w:hint="eastAsia" w:ascii="仿宋" w:hAnsi="仿宋" w:eastAsia="仿宋"/>
          <w:sz w:val="32"/>
          <w:szCs w:val="32"/>
          <w:lang w:val="en-US" w:eastAsia="zh-CN"/>
        </w:rPr>
        <w:t>占5%；</w:t>
      </w:r>
      <w:r>
        <w:rPr>
          <w:rFonts w:hint="eastAsia" w:ascii="仿宋" w:hAnsi="仿宋" w:eastAsia="仿宋"/>
          <w:sz w:val="32"/>
          <w:szCs w:val="32"/>
        </w:rPr>
        <w:t>住房保障支出21.49万元</w:t>
      </w:r>
      <w:r>
        <w:rPr>
          <w:rFonts w:hint="eastAsia" w:ascii="仿宋" w:hAnsi="仿宋" w:eastAsia="仿宋"/>
          <w:sz w:val="32"/>
          <w:szCs w:val="32"/>
          <w:lang w:eastAsia="zh-CN"/>
        </w:rPr>
        <w:t>，</w:t>
      </w:r>
      <w:r>
        <w:rPr>
          <w:rFonts w:hint="eastAsia" w:ascii="仿宋" w:hAnsi="仿宋" w:eastAsia="仿宋"/>
          <w:sz w:val="32"/>
          <w:szCs w:val="32"/>
          <w:lang w:val="en-US" w:eastAsia="zh-CN"/>
        </w:rPr>
        <w:t>占5%。</w:t>
      </w:r>
    </w:p>
    <w:p w14:paraId="1A6130AC">
      <w:pPr>
        <w:rPr>
          <w:rFonts w:hint="eastAsia" w:ascii="仿宋" w:hAnsi="仿宋" w:eastAsia="仿宋"/>
          <w:sz w:val="32"/>
          <w:szCs w:val="32"/>
        </w:rPr>
      </w:pPr>
      <w:r>
        <w:drawing>
          <wp:inline distT="0" distB="0" distL="114300" distR="114300">
            <wp:extent cx="4819015" cy="2065020"/>
            <wp:effectExtent l="4445" t="4445" r="7620" b="1841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1.教育支出（类）普通教育（款）小学教育（项）2025年预算数为361.17万元，2024年执行数为356.61万元，比2024年预算数增加4.56万元，上升1.28%。主要原因为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2.教育支出（类）普通教育（款）其他普通教育支出（项）2025年预算数为10.54万元，2024年执行数为0.00万元,比2024年预算数增加10.54万元，增加100%。主要原因是其他长聘人员经费。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3.社会保障和就业支出（类）行政事业单位养老支出（款）机关事业单位基本养老保险缴费支出（项）2025年预算数为40.90万元，2024年执行数为55.76万元，比2024年预算数减少14.86万元，下降26.64%。主要原因为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4.社会保障和就业支出（类）财政对其他社会保险基金的补助（款）财政对失业保险基金的补助（项）2025年预算数为1.27元，2024年执行数为1.07万元，比2024年预算数增加0.2万元，上升18.69%。主要原因为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5.社会保障和就业支出（类）财政对其他社会保险基金的补助（款）财政对工伤保险基金的补助（项）2025年预算数为0.25万元，2024年执行数为0.21万元，比2024年预算数增加0.04万元，上升19.05%。主要原因为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19.79万元，2024年执行数为0.00万元，比2024年预算数增加19.79万元，增加100%。主要原因为2024年医疗保险预算功能科目为财政对职工基本医疗保险基金的补助。</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2.16万元，2024年执行数为0.00万元，比2024年预算数增加2.16万元，增加100%。主要原因为2024年其他事业单位医疗保险预算功能科目为财政对职工基本医疗保险基金的补助。</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8.住房保障支出（类）住房改革支出（款）住房公积金（项）2025年预算数为21.49万元，2024年执行数为10万元，比2024年预算数增加11.49万元，增加100%。主要原因为人员经费正常保障。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456.58</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434.12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22.46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9814AF5"/>
    <w:rsid w:val="0B8821DB"/>
    <w:rsid w:val="0C2F32F7"/>
    <w:rsid w:val="0C61547A"/>
    <w:rsid w:val="0D1A5D55"/>
    <w:rsid w:val="0E4A1958"/>
    <w:rsid w:val="13547AE7"/>
    <w:rsid w:val="13E722EB"/>
    <w:rsid w:val="149F2FE4"/>
    <w:rsid w:val="19A846E9"/>
    <w:rsid w:val="1D556936"/>
    <w:rsid w:val="1F86207A"/>
    <w:rsid w:val="200A1C59"/>
    <w:rsid w:val="227F366B"/>
    <w:rsid w:val="231F5A1C"/>
    <w:rsid w:val="263E265D"/>
    <w:rsid w:val="26CA3EF0"/>
    <w:rsid w:val="281A2C55"/>
    <w:rsid w:val="2C256B98"/>
    <w:rsid w:val="2C35005E"/>
    <w:rsid w:val="2CB82A3D"/>
    <w:rsid w:val="2D2B1461"/>
    <w:rsid w:val="2FB27C17"/>
    <w:rsid w:val="3071362F"/>
    <w:rsid w:val="33EB36F8"/>
    <w:rsid w:val="380A05F1"/>
    <w:rsid w:val="3AE06804"/>
    <w:rsid w:val="3F3C12AC"/>
    <w:rsid w:val="417E5BAB"/>
    <w:rsid w:val="470703F1"/>
    <w:rsid w:val="47947ED7"/>
    <w:rsid w:val="47C6205A"/>
    <w:rsid w:val="48B16866"/>
    <w:rsid w:val="4A792472"/>
    <w:rsid w:val="4D1D271C"/>
    <w:rsid w:val="4F455F5A"/>
    <w:rsid w:val="4FA40ED3"/>
    <w:rsid w:val="549C661D"/>
    <w:rsid w:val="58BA3515"/>
    <w:rsid w:val="5919648E"/>
    <w:rsid w:val="5C1B251D"/>
    <w:rsid w:val="5C806824"/>
    <w:rsid w:val="5E5D6E1D"/>
    <w:rsid w:val="5F8D2547"/>
    <w:rsid w:val="622F0AD0"/>
    <w:rsid w:val="63FF2724"/>
    <w:rsid w:val="66F61F2A"/>
    <w:rsid w:val="67851192"/>
    <w:rsid w:val="69665109"/>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32034;&#21439;-&#28909;&#29926;&#20065;&#23567;&#23398;\&#37096;&#38376;&#39044;&#31639;&#20844;&#24320;&#34920;(&#28909;&#29926;&#20065;&#23567;&#233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32034;&#21439;-&#28909;&#29926;&#20065;&#23567;&#23398;\&#37096;&#38376;&#39044;&#31639;&#20844;&#24320;&#34920;(&#28909;&#29926;&#20065;&#23567;&#233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财政拨款收支总表</a:t>
            </a:r>
          </a:p>
        </c:rich>
      </c:tx>
      <c:layout>
        <c:manualLayout>
          <c:xMode val="edge"/>
          <c:yMode val="edge"/>
          <c:x val="0.418421052631579"/>
          <c:y val="0.0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'[部门预算公开表(热瓦乡小学).xlsx]财政拨款收支总表1'!$J$11:$J$14</c:f>
              <c:strCache>
                <c:ptCount val="4"/>
                <c:pt idx="0">
                  <c:v> 教育支出</c:v>
                </c:pt>
                <c:pt idx="1">
                  <c:v> 社会保障和就业支出</c:v>
                </c:pt>
                <c:pt idx="2">
                  <c:v> 卫生健康支出</c:v>
                </c:pt>
                <c:pt idx="3">
                  <c:v> 住房保障支出</c:v>
                </c:pt>
              </c:strCache>
            </c:strRef>
          </c:cat>
          <c:val>
            <c:numRef>
              <c:f>'[部门预算公开表(热瓦乡小学).xlsx]财政拨款收支总表1'!$K$11:$K$14</c:f>
              <c:numCache>
                <c:formatCode>General</c:formatCode>
                <c:ptCount val="4"/>
                <c:pt idx="0">
                  <c:v>371.71</c:v>
                </c:pt>
                <c:pt idx="1">
                  <c:v>42.43</c:v>
                </c:pt>
                <c:pt idx="2">
                  <c:v>21.95</c:v>
                </c:pt>
                <c:pt idx="3">
                  <c:v>21.49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f821e1-9665-4c13-9db5-c4653383082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一般公共预算拨款结构</a:t>
            </a:r>
          </a:p>
        </c:rich>
      </c:tx>
      <c:layout>
        <c:manualLayout>
          <c:xMode val="edge"/>
          <c:yMode val="edge"/>
          <c:x val="0.416971586298729"/>
          <c:y val="0.02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'[部门预算公开表(热瓦乡小学).xlsx]财政拨款收支总表1'!$J$11:$J$14</c:f>
              <c:strCache>
                <c:ptCount val="4"/>
                <c:pt idx="0">
                  <c:v> 教育支出</c:v>
                </c:pt>
                <c:pt idx="1">
                  <c:v> 社会保障和就业支出</c:v>
                </c:pt>
                <c:pt idx="2">
                  <c:v> 卫生健康支出</c:v>
                </c:pt>
                <c:pt idx="3">
                  <c:v> 住房保障支出</c:v>
                </c:pt>
              </c:strCache>
            </c:strRef>
          </c:cat>
          <c:val>
            <c:numRef>
              <c:f>'[部门预算公开表(热瓦乡小学).xlsx]财政拨款收支总表1'!$K$11:$K$14</c:f>
              <c:numCache>
                <c:formatCode>General</c:formatCode>
                <c:ptCount val="4"/>
                <c:pt idx="0">
                  <c:v>371.71</c:v>
                </c:pt>
                <c:pt idx="1">
                  <c:v>42.43</c:v>
                </c:pt>
                <c:pt idx="2">
                  <c:v>21.95</c:v>
                </c:pt>
                <c:pt idx="3">
                  <c:v>21.49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3f821e1-9665-4c13-9db5-c4653383082b}"/>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3316</Words>
  <Characters>3748</Characters>
  <Lines>27</Lines>
  <Paragraphs>7</Paragraphs>
  <TotalTime>41</TotalTime>
  <ScaleCrop>false</ScaleCrop>
  <LinksUpToDate>false</LinksUpToDate>
  <CharactersWithSpaces>3768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玉珍</cp:lastModifiedBy>
  <cp:lastPrinted>2021-01-27T11:28:00Z</cp:lastPrinted>
  <dcterms:modified xsi:type="dcterms:W3CDTF">2025-02-11T02:21:59Z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eyJoZGlkIjoiMjljMDI2OTlkMDIzMjI1YTZhOThiYmRkMjBjZTM3NGUiLCJ1c2VySWQiOiI0MjY4NjYwODUifQ==</vt:lpwstr>
  </property>
  <property fmtid="{D5CDD505-2E9C-101B-9397-08002B2CF9AE}" pid="3" name="KSOProductBuildVer">
    <vt:lpwstr>2052-12.1.0.19770</vt:lpwstr>
  </property>
  <property fmtid="{D5CDD505-2E9C-101B-9397-08002B2CF9AE}" pid="4" name="ICV">
    <vt:lpwstr>7CE09BE523B74FEF8AA780C7C5673E56_13</vt:lpwstr>
  </property>
</Properties>
</file>