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lang w:val="en-US" w:eastAsia="zh-CN"/>
        </w:rPr>
        <w:t>索县第一中学</w:t>
      </w:r>
      <w:r>
        <w:rPr>
          <w:rFonts w:hint="eastAsia" w:ascii="方正小标宋简体" w:hAnsi="仿宋" w:eastAsia="方正小标宋简体"/>
          <w:sz w:val="44"/>
          <w:szCs w:val="44"/>
        </w:rPr>
        <w:t>2025年度部门预算</w:t>
      </w:r>
    </w:p>
    <w:bookmarkEnd w:id="0"/>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索县第一中学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索县第一中学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索县第一中学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索县第一中学</w:t>
      </w:r>
      <w:r>
        <w:rPr>
          <w:rFonts w:hint="eastAsia" w:ascii="方正小标宋简体" w:hAnsi="仿宋" w:eastAsia="方正小标宋简体"/>
          <w:sz w:val="32"/>
          <w:szCs w:val="32"/>
        </w:rPr>
        <w:t>概况</w:t>
      </w:r>
    </w:p>
    <w:p w14:paraId="49574F52">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中学是一所具有深厚历史底蕴与卓越教育品质的公办中学，坐落于那曲市索县，周边环境优美，交通便利，为学生提供了良好的学习和生活环境。学校占地面积84028平方米，建筑面积42520平方米，拥有现代化的教学楼、实验楼、体育馆、图书馆等教学设施，教学设备先进，功能齐全，为素质教育的全面实施提供了坚实保障。</w:t>
      </w:r>
    </w:p>
    <w:p w14:paraId="742E79F7">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p>
    <w:p w14:paraId="63D011F3">
      <w:pPr>
        <w:ind w:firstLine="640" w:firstLineChars="200"/>
        <w:rPr>
          <w:rFonts w:hint="eastAsia" w:ascii="仿宋" w:hAnsi="仿宋" w:eastAsia="仿宋"/>
          <w:sz w:val="32"/>
          <w:szCs w:val="32"/>
        </w:rPr>
      </w:pPr>
      <w:r>
        <w:rPr>
          <w:rFonts w:hint="eastAsia" w:ascii="仿宋" w:hAnsi="仿宋" w:eastAsia="仿宋"/>
          <w:sz w:val="32"/>
          <w:szCs w:val="32"/>
          <w:lang w:eastAsia="zh-CN"/>
        </w:rPr>
        <w:t>学校现有37个教学班，学生2196人，专任教师156人。教师队伍学历层次高，业务能力强，其中本科及以上学历教师占比98%，中高级职称教师占比37%。多名教师荣获省、市、区“优秀教师”“骨干教师”“教学能手”等荣誉称号，在教育教学领域取得了丰硕的成果。多年来，学校秉承“让学生开心学习，让家长放心满意”的办学宗旨，坚持立德树人，注重学生的全面发展和个性培养，形成了鲜明的办学特色。在全体师生的共同努力下，学校教育教学质量稳步提升，赢得了社会各界的广泛赞誉和家长的高度认可。</w:t>
      </w: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索县第一中学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索县第一中学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5AAF4613">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年收支总预算12283.05万元，财政拨款收入12283.05万元。收入包括：一般公共预算拨款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收入12,188.90万元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一般公共预算上年结转94.15万元</w:t>
      </w:r>
      <w:r>
        <w:rPr>
          <w:rFonts w:hint="eastAsia" w:ascii="仿宋" w:hAnsi="仿宋" w:eastAsia="仿宋"/>
          <w:sz w:val="32"/>
          <w:szCs w:val="32"/>
        </w:rPr>
        <w:t>；支出包括：教育支出10,289.78万元、社会保障和就业支出1080.38万元、卫生健康支出562.17万元、住房保障支出350.73</w:t>
      </w:r>
      <w:r>
        <w:rPr>
          <w:rFonts w:hint="eastAsia" w:ascii="仿宋" w:hAnsi="仿宋" w:eastAsia="仿宋"/>
          <w:sz w:val="32"/>
          <w:szCs w:val="32"/>
          <w:lang w:val="en-US" w:eastAsia="zh-CN"/>
        </w:rPr>
        <w:t>万</w:t>
      </w:r>
      <w:r>
        <w:rPr>
          <w:rFonts w:hint="eastAsia" w:ascii="仿宋" w:hAnsi="仿宋" w:eastAsia="仿宋"/>
          <w:sz w:val="32"/>
          <w:szCs w:val="32"/>
        </w:rPr>
        <w:t>元。</w:t>
      </w:r>
    </w:p>
    <w:p w14:paraId="31B4DB27">
      <w:pPr>
        <w:ind w:firstLine="640" w:firstLineChars="200"/>
        <w:rPr>
          <w:rFonts w:hint="eastAsia" w:ascii="仿宋" w:hAnsi="仿宋" w:eastAsia="仿宋"/>
          <w:sz w:val="32"/>
          <w:szCs w:val="32"/>
        </w:rPr>
      </w:pPr>
    </w:p>
    <w:p w14:paraId="73882FA2">
      <w:pPr>
        <w:ind w:firstLine="420" w:firstLineChars="200"/>
        <w:rPr>
          <w:rFonts w:hint="eastAsia" w:ascii="仿宋" w:hAnsi="仿宋" w:eastAsia="仿宋"/>
          <w:sz w:val="32"/>
          <w:szCs w:val="32"/>
        </w:rPr>
      </w:pPr>
      <w:r>
        <w:drawing>
          <wp:inline distT="0" distB="0" distL="114300" distR="114300">
            <wp:extent cx="4833620" cy="2348865"/>
            <wp:effectExtent l="4445" t="4445" r="19685"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949A43">
      <w:pPr>
        <w:ind w:firstLine="420" w:firstLineChars="200"/>
        <w:rPr>
          <w:rFonts w:hint="eastAsia" w:ascii="仿宋" w:hAnsi="仿宋" w:eastAsia="仿宋"/>
          <w:sz w:val="32"/>
          <w:szCs w:val="32"/>
        </w:rPr>
      </w:pPr>
      <w:r>
        <w:rPr>
          <w:rFonts w:hint="eastAsia"/>
          <w:lang w:val="en-US" w:eastAsia="zh-CN"/>
        </w:rPr>
        <w:t xml:space="preserve">      </w:t>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当年收入预算12,188.90万元，其中：一般公共预算拨款收入总额12,188.90万元。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12283.05</w:t>
      </w:r>
      <w:r>
        <w:rPr>
          <w:rFonts w:hint="eastAsia" w:ascii="仿宋" w:hAnsi="仿宋" w:eastAsia="仿宋"/>
          <w:sz w:val="36"/>
          <w:szCs w:val="36"/>
        </w:rPr>
        <w:t>万元，其中：基本支出12,280.05万元，占</w:t>
      </w:r>
      <w:r>
        <w:rPr>
          <w:rFonts w:hint="eastAsia" w:ascii="仿宋" w:hAnsi="仿宋" w:eastAsia="仿宋"/>
          <w:sz w:val="36"/>
          <w:szCs w:val="36"/>
          <w:lang w:val="en-US" w:eastAsia="zh-CN"/>
        </w:rPr>
        <w:t>99.97</w:t>
      </w:r>
      <w:r>
        <w:rPr>
          <w:rFonts w:hint="eastAsia" w:ascii="仿宋" w:hAnsi="仿宋" w:eastAsia="仿宋"/>
          <w:sz w:val="36"/>
          <w:szCs w:val="36"/>
        </w:rPr>
        <w:t>%；项目支出3.00万元，占</w:t>
      </w:r>
      <w:r>
        <w:rPr>
          <w:rFonts w:hint="eastAsia" w:ascii="仿宋" w:hAnsi="仿宋" w:eastAsia="仿宋"/>
          <w:sz w:val="36"/>
          <w:szCs w:val="36"/>
          <w:lang w:val="en-US" w:eastAsia="zh-CN"/>
        </w:rPr>
        <w:t>0.02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0BC3EC41">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总预算12283.05万元。202</w:t>
      </w:r>
      <w:r>
        <w:rPr>
          <w:rFonts w:hint="eastAsia" w:ascii="仿宋" w:hAnsi="仿宋" w:eastAsia="仿宋"/>
          <w:sz w:val="32"/>
          <w:szCs w:val="32"/>
          <w:lang w:val="en-US" w:eastAsia="zh-CN"/>
        </w:rPr>
        <w:t>5</w:t>
      </w:r>
      <w:r>
        <w:rPr>
          <w:rFonts w:hint="eastAsia" w:ascii="仿宋" w:hAnsi="仿宋" w:eastAsia="仿宋"/>
          <w:sz w:val="32"/>
          <w:szCs w:val="32"/>
        </w:rPr>
        <w:t>年总预算资金为12283.05万元；202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年年初预算下达支出包括：教育支出10,289.78万元、社会保障和就业支出1080.38万元、卫生健康支出562.17万元、住房保障支出350.73</w:t>
      </w:r>
      <w:r>
        <w:rPr>
          <w:rFonts w:hint="eastAsia" w:ascii="仿宋" w:hAnsi="仿宋" w:eastAsia="仿宋"/>
          <w:sz w:val="32"/>
          <w:szCs w:val="32"/>
          <w:lang w:val="en-US" w:eastAsia="zh-CN"/>
        </w:rPr>
        <w:t>万</w:t>
      </w:r>
      <w:r>
        <w:rPr>
          <w:rFonts w:hint="eastAsia" w:ascii="仿宋" w:hAnsi="仿宋" w:eastAsia="仿宋"/>
          <w:sz w:val="32"/>
          <w:szCs w:val="32"/>
        </w:rPr>
        <w:t>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2025年一般公共预算当年拨款12283.05万元,比2024 年执行数</w:t>
      </w:r>
      <w:r>
        <w:rPr>
          <w:rFonts w:hint="eastAsia" w:ascii="仿宋" w:hAnsi="仿宋" w:eastAsia="仿宋"/>
          <w:sz w:val="32"/>
          <w:szCs w:val="32"/>
          <w:lang w:val="en-US" w:eastAsia="zh-CN"/>
        </w:rPr>
        <w:t>(</w:t>
      </w:r>
      <w:r>
        <w:rPr>
          <w:rFonts w:hint="eastAsia" w:ascii="仿宋" w:hAnsi="仿宋" w:eastAsia="仿宋"/>
          <w:sz w:val="32"/>
          <w:szCs w:val="32"/>
        </w:rPr>
        <w:t>9220.8</w:t>
      </w:r>
      <w:r>
        <w:rPr>
          <w:rFonts w:hint="eastAsia" w:ascii="仿宋" w:hAnsi="仿宋" w:eastAsia="仿宋"/>
          <w:sz w:val="32"/>
          <w:szCs w:val="32"/>
          <w:lang w:val="en-US" w:eastAsia="zh-CN"/>
        </w:rPr>
        <w:t>万元)增加</w:t>
      </w:r>
      <w:r>
        <w:rPr>
          <w:rFonts w:hint="eastAsia" w:ascii="仿宋" w:hAnsi="仿宋" w:eastAsia="仿宋"/>
          <w:sz w:val="32"/>
          <w:szCs w:val="32"/>
          <w:u w:val="none"/>
          <w:lang w:val="en-US" w:eastAsia="zh-CN"/>
        </w:rPr>
        <w:t>3062.25</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10,289.78万元</w:t>
      </w:r>
      <w:r>
        <w:rPr>
          <w:rFonts w:hint="eastAsia" w:ascii="仿宋" w:hAnsi="仿宋" w:eastAsia="仿宋"/>
          <w:sz w:val="32"/>
          <w:szCs w:val="32"/>
          <w:lang w:eastAsia="zh-CN"/>
        </w:rPr>
        <w:t>，</w:t>
      </w:r>
      <w:r>
        <w:rPr>
          <w:rFonts w:hint="eastAsia" w:ascii="仿宋" w:hAnsi="仿宋" w:eastAsia="仿宋"/>
          <w:sz w:val="32"/>
          <w:szCs w:val="32"/>
          <w:lang w:val="en-US" w:eastAsia="zh-CN"/>
        </w:rPr>
        <w:t>占84%；</w:t>
      </w:r>
      <w:r>
        <w:rPr>
          <w:rFonts w:hint="eastAsia" w:ascii="仿宋" w:hAnsi="仿宋" w:eastAsia="仿宋"/>
          <w:sz w:val="32"/>
          <w:szCs w:val="32"/>
        </w:rPr>
        <w:t>社会保障和就业支出1080.38万元</w:t>
      </w:r>
      <w:r>
        <w:rPr>
          <w:rFonts w:hint="eastAsia" w:ascii="仿宋" w:hAnsi="仿宋" w:eastAsia="仿宋"/>
          <w:sz w:val="32"/>
          <w:szCs w:val="32"/>
          <w:lang w:eastAsia="zh-CN"/>
        </w:rPr>
        <w:t>，</w:t>
      </w:r>
      <w:r>
        <w:rPr>
          <w:rFonts w:hint="eastAsia" w:ascii="仿宋" w:hAnsi="仿宋" w:eastAsia="仿宋"/>
          <w:sz w:val="32"/>
          <w:szCs w:val="32"/>
          <w:lang w:val="en-US" w:eastAsia="zh-CN"/>
        </w:rPr>
        <w:t>占9%；</w:t>
      </w:r>
      <w:r>
        <w:rPr>
          <w:rFonts w:hint="eastAsia" w:ascii="仿宋" w:hAnsi="仿宋" w:eastAsia="仿宋"/>
          <w:sz w:val="32"/>
          <w:szCs w:val="32"/>
        </w:rPr>
        <w:t>卫生健康支出562.17万元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住房保障支出350.73万元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p>
    <w:p w14:paraId="1A6130AC">
      <w:pPr>
        <w:rPr>
          <w:rFonts w:hint="eastAsia" w:ascii="仿宋" w:hAnsi="仿宋" w:eastAsia="仿宋"/>
          <w:sz w:val="32"/>
          <w:szCs w:val="32"/>
        </w:rPr>
      </w:pPr>
      <w:r>
        <w:drawing>
          <wp:inline distT="0" distB="0" distL="114300" distR="114300">
            <wp:extent cx="4833620" cy="2348865"/>
            <wp:effectExtent l="4445" t="4445" r="19685" b="889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1.教育支出（类）普通教育（款）小学教育（项）2025年预算数为3.00万元，2024年执行数为706.98万元，比2024年预算数减少703.98万元，下降99.97%。主要原因为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29788A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2.教育支出（类）普通教育（款）初中教育（项）2025年预算数为10,148.96万元，2024年执行数为7035.9万元，比2024年预算数减少3113.06万元，下降44.24%。主要原因为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3.教育支出（类）普通教育（款）其他普通教育支出（项）2025年预算数为137.82万元，2024年执行数为0.00万元,比2024年预算数增加137.82万元，增加100%。主要原因是其他长聘人员经费。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4.社会保障和就业支出（类）行政事业单位养老支出（款）机关事业单位基本养老保险缴费支出（项）2025年预算数为1,041.59万元，2024年执行数为707.29万元，比2024年预算数减少334.3万元，下降47.26%。主要原因为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5.社会保障和就业支出（类）财政对其他社会保险基金的补助（款）财政对失业保险基金的补助（项）2025年预算数为32.596万元，2024年执行数为25.99万元，比2024年预算数增加6.57万元，上升25.27%。主要原因为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6.社会保障和就业支出（类）财政对其他社会保险基金的补助（款）财政对工伤保险基金的补助（项）2025年预算数为6.20万元，2024年执行数为4.12万元，比2024年预算数增加2.08万元，上升0.50%。主要原因为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7.卫生健康支出（类）行政事业单位医疗（款）事业单位医疗（款）2025年预算数为464.67万元，2024年执行数为0.00万元，比2024年预算数增加464.67万元，增加100%。主要原因为人员经费正常保障。</w:t>
      </w:r>
    </w:p>
    <w:p w14:paraId="6620B7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卫生健康支出（类）行政事业单位医疗（款）其他行政事业单位医疗支出（款）2025年预算数为97.50万元，2024年执行数为0.00万元，比2024年预算数增加97.50万元，增加100%。主要原因2024年医疗保险预算功能科目为财政对职工基本医疗保险基金的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9.住房保障支出（类）住房改革支出（款）住房公积金（项）2025年预算数为350.73万元，2024年执行数为154.56万元，比2024年预算数增加196.17万元，增加100%。主要原因为人员经费正常保障。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12,280.05</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11,154.60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1,125.45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200A1C59"/>
    <w:rsid w:val="231F5A1C"/>
    <w:rsid w:val="263E265D"/>
    <w:rsid w:val="269467B8"/>
    <w:rsid w:val="26CA3EF0"/>
    <w:rsid w:val="281A2C55"/>
    <w:rsid w:val="2C256B98"/>
    <w:rsid w:val="2C35005E"/>
    <w:rsid w:val="2CB82A3D"/>
    <w:rsid w:val="2D2B1461"/>
    <w:rsid w:val="2E9F683C"/>
    <w:rsid w:val="2FB27C17"/>
    <w:rsid w:val="3071362F"/>
    <w:rsid w:val="33EB36F8"/>
    <w:rsid w:val="380A05F1"/>
    <w:rsid w:val="3F3C12AC"/>
    <w:rsid w:val="417E5BAB"/>
    <w:rsid w:val="470703F1"/>
    <w:rsid w:val="47947ED7"/>
    <w:rsid w:val="47C6205A"/>
    <w:rsid w:val="48B16866"/>
    <w:rsid w:val="4D1D271C"/>
    <w:rsid w:val="4F455F5A"/>
    <w:rsid w:val="4FA40ED3"/>
    <w:rsid w:val="549C661D"/>
    <w:rsid w:val="58BA3515"/>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20(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2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(9).xlsx]一般公共预算支出表2'!$L$8:$L$11</c:f>
              <c:strCache>
                <c:ptCount val="4"/>
                <c:pt idx="0">
                  <c:v>教育支出</c:v>
                </c:pt>
                <c:pt idx="1">
                  <c:v>社会保障和就业支出</c:v>
                </c:pt>
                <c:pt idx="2">
                  <c:v>卫生健康支出</c:v>
                </c:pt>
                <c:pt idx="3">
                  <c:v>住房公积金</c:v>
                </c:pt>
              </c:strCache>
            </c:strRef>
          </c:cat>
          <c:val>
            <c:numRef>
              <c:f>'[部门预算公开表 (9).xlsx]一般公共预算支出表2'!$M$8:$M$11</c:f>
              <c:numCache>
                <c:formatCode>#,##0.00</c:formatCode>
                <c:ptCount val="4"/>
                <c:pt idx="0">
                  <c:v>10289.78</c:v>
                </c:pt>
                <c:pt idx="1">
                  <c:v>1080.38</c:v>
                </c:pt>
                <c:pt idx="2" c:formatCode="General">
                  <c:v>562.17</c:v>
                </c:pt>
                <c:pt idx="3" c:formatCode="General">
                  <c:v>350.73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6f1d3e-52c5-4399-9e14-dac0434cbbe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(9).xlsx]一般公共预算支出表2'!$L$8:$L$11</c:f>
              <c:strCache>
                <c:ptCount val="4"/>
                <c:pt idx="0">
                  <c:v>教育支出</c:v>
                </c:pt>
                <c:pt idx="1">
                  <c:v>社会保障和就业支出</c:v>
                </c:pt>
                <c:pt idx="2">
                  <c:v>卫生健康支出</c:v>
                </c:pt>
                <c:pt idx="3">
                  <c:v>住房公积金</c:v>
                </c:pt>
              </c:strCache>
            </c:strRef>
          </c:cat>
          <c:val>
            <c:numRef>
              <c:f>'[部门预算公开表 (9).xlsx]一般公共预算支出表2'!$M$8:$M$11</c:f>
              <c:numCache>
                <c:formatCode>#,##0.00</c:formatCode>
                <c:ptCount val="4"/>
                <c:pt idx="0">
                  <c:v>10289.78</c:v>
                </c:pt>
                <c:pt idx="1">
                  <c:v>1080.38</c:v>
                </c:pt>
                <c:pt idx="2" c:formatCode="General">
                  <c:v>562.17</c:v>
                </c:pt>
                <c:pt idx="3" c:formatCode="General">
                  <c:v>350.73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6f1d3e-52c5-4399-9e14-dac0434cbbe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3271</Words>
  <Characters>3749</Characters>
  <Lines>27</Lines>
  <Paragraphs>7</Paragraphs>
  <TotalTime>136</TotalTime>
  <ScaleCrop>false</ScaleCrop>
  <LinksUpToDate>false</LinksUpToDate>
  <CharactersWithSpaces>3769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微信用户</cp:lastModifiedBy>
  <cp:lastPrinted>2021-01-27T11:28:00Z</cp:lastPrinted>
  <dcterms:modified xsi:type="dcterms:W3CDTF">2025-02-10T13:04:32Z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eyJoZGlkIjoiZDIyYzU4MWU1ZGUxNmU5NzEyNmY0Zjg1YjY5ZjU5NjQiLCJ1c2VySWQiOiIxMjc5NzcyOTI5In0=</vt:lpwstr>
  </property>
  <property fmtid="{D5CDD505-2E9C-101B-9397-08002B2CF9AE}" pid="3" name="KSOProductBuildVer">
    <vt:lpwstr>2052-12.1.0.19770</vt:lpwstr>
  </property>
  <property fmtid="{D5CDD505-2E9C-101B-9397-08002B2CF9AE}" pid="4" name="ICV">
    <vt:lpwstr>B6E7036EECFB4DC0B630EAA7C4D531BB_13</vt:lpwstr>
  </property>
</Properties>
</file>