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索县加勤乡小学</w:t>
      </w:r>
      <w:r>
        <w:rPr>
          <w:rFonts w:hint="eastAsia" w:ascii="方正小标宋简体" w:hAnsi="仿宋" w:eastAsia="方正小标宋简体"/>
          <w:sz w:val="44"/>
          <w:szCs w:val="44"/>
        </w:rPr>
        <w:t>2025年度部门预算</w:t>
      </w:r>
    </w:p>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rPr>
          <w:rFonts w:ascii="黑体" w:hAnsi="黑体" w:eastAsia="黑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索县加勤乡小学</w:t>
      </w:r>
      <w:r>
        <w:rPr>
          <w:rFonts w:hint="eastAsia" w:ascii="方正小标宋简体" w:hAnsi="仿宋" w:eastAsia="方正小标宋简体"/>
          <w:sz w:val="32"/>
          <w:szCs w:val="32"/>
        </w:rPr>
        <w:t>概况</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索县加勤乡小学</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索县加勤乡小学</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2A85103A">
      <w:pPr>
        <w:jc w:val="center"/>
        <w:rPr>
          <w:rFonts w:hint="eastAsia" w:ascii="方正小标宋简体" w:hAnsi="仿宋" w:eastAsia="方正小标宋简体"/>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索县加勤乡小学</w:t>
      </w:r>
      <w:r>
        <w:rPr>
          <w:rFonts w:hint="eastAsia" w:ascii="方正小标宋简体" w:hAnsi="仿宋" w:eastAsia="方正小标宋简体"/>
          <w:sz w:val="32"/>
          <w:szCs w:val="32"/>
        </w:rPr>
        <w:t>概况</w:t>
      </w:r>
    </w:p>
    <w:p w14:paraId="5AF39464">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索县加勤乡小学是一所具有深厚历史底蕴与卓越教育品质的公立小学，坐落于</w:t>
      </w:r>
      <w:r>
        <w:rPr>
          <w:rFonts w:hint="eastAsia" w:ascii="仿宋" w:hAnsi="仿宋" w:eastAsia="仿宋"/>
          <w:sz w:val="32"/>
          <w:szCs w:val="32"/>
          <w:lang w:val="en-US" w:eastAsia="zh-CN"/>
        </w:rPr>
        <w:t>加勤乡</w:t>
      </w:r>
      <w:r>
        <w:rPr>
          <w:rFonts w:hint="eastAsia" w:ascii="仿宋" w:hAnsi="仿宋" w:eastAsia="仿宋"/>
          <w:sz w:val="32"/>
          <w:szCs w:val="32"/>
          <w:lang w:eastAsia="zh-CN"/>
        </w:rPr>
        <w:t>，周边环境优美，交通便利，为学生提供了良好的学习和生活环境。学校占地面积39000平方米，建筑面积25323.5平方米，拥有现代化的教学楼、实验楼、体育馆、图书馆等教学设施，教学设备先进，功能齐全，为素质教育的全面实施提供了坚实保障。</w:t>
      </w:r>
    </w:p>
    <w:p w14:paraId="3EB415FC">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学校现有22个教学班，学生1010人，专任教师53人。教师队伍学历层次高，业务能力强，其中本科及以上学历教师占比0.15%，中高级职称教师占比0.13%。多名教师荣获省、市、区“优秀教师”“骨干教师”“教学能手”等荣誉称号，在教育教学领域取得了丰硕的成果。多年来，学校秉承“办学理念”的办学宗旨，坚持立德树人，注重学生的全面发展和个性培养，形成了鲜明的办学特色。在全体师生的共同努力下，学校教育教学质量稳步提升，赢得了社会各界的广泛赞誉和家长的高度认可。</w:t>
      </w:r>
    </w:p>
    <w:p w14:paraId="0E651457">
      <w:pPr>
        <w:rPr>
          <w:rFonts w:ascii="仿宋" w:hAnsi="仿宋" w:eastAsia="仿宋"/>
          <w:sz w:val="32"/>
          <w:szCs w:val="32"/>
        </w:rPr>
      </w:pPr>
      <w:r>
        <w:rPr>
          <w:rFonts w:hint="eastAsia" w:ascii="仿宋" w:hAnsi="仿宋" w:eastAsia="仿宋"/>
          <w:sz w:val="32"/>
          <w:szCs w:val="32"/>
          <w:lang w:eastAsia="zh-CN"/>
        </w:rPr>
        <w:t xml:space="preserve"> </w:t>
      </w:r>
    </w:p>
    <w:p w14:paraId="09B87356">
      <w:pPr>
        <w:rPr>
          <w:rFonts w:ascii="仿宋" w:hAnsi="仿宋" w:eastAsia="仿宋"/>
          <w:sz w:val="32"/>
          <w:szCs w:val="32"/>
        </w:rPr>
      </w:pPr>
    </w:p>
    <w:p w14:paraId="0C5FD8E8">
      <w:pPr>
        <w:rPr>
          <w:rFonts w:ascii="仿宋" w:hAnsi="仿宋" w:eastAsia="仿宋"/>
          <w:sz w:val="32"/>
          <w:szCs w:val="32"/>
        </w:rPr>
      </w:pPr>
    </w:p>
    <w:p w14:paraId="6468C202">
      <w:pPr>
        <w:rPr>
          <w:rFonts w:ascii="仿宋" w:hAnsi="仿宋" w:eastAsia="仿宋"/>
          <w:sz w:val="32"/>
          <w:szCs w:val="32"/>
        </w:rPr>
      </w:pPr>
    </w:p>
    <w:p w14:paraId="79013B26">
      <w:pPr>
        <w:rPr>
          <w:rFonts w:ascii="仿宋" w:hAnsi="仿宋" w:eastAsia="仿宋"/>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索县加勤乡小学</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76804AF7">
      <w:pPr>
        <w:rPr>
          <w:rFonts w:ascii="仿宋" w:hAnsi="仿宋" w:eastAsia="仿宋"/>
          <w:sz w:val="32"/>
          <w:szCs w:val="32"/>
        </w:rPr>
      </w:pPr>
    </w:p>
    <w:p w14:paraId="68E61239">
      <w:pPr>
        <w:rPr>
          <w:rFonts w:ascii="仿宋" w:hAnsi="仿宋" w:eastAsia="仿宋"/>
          <w:sz w:val="32"/>
          <w:szCs w:val="32"/>
        </w:rPr>
      </w:pPr>
    </w:p>
    <w:p w14:paraId="27DF351B">
      <w:pPr>
        <w:rPr>
          <w:rFonts w:ascii="仿宋" w:hAnsi="仿宋" w:eastAsia="仿宋"/>
          <w:sz w:val="32"/>
          <w:szCs w:val="32"/>
        </w:rPr>
      </w:pPr>
    </w:p>
    <w:p w14:paraId="720B1CEB">
      <w:pPr>
        <w:rPr>
          <w:rFonts w:ascii="仿宋" w:hAnsi="仿宋" w:eastAsia="仿宋"/>
          <w:sz w:val="32"/>
          <w:szCs w:val="32"/>
        </w:rPr>
      </w:pPr>
    </w:p>
    <w:p w14:paraId="36B58117">
      <w:pPr>
        <w:rPr>
          <w:rFonts w:ascii="仿宋" w:hAnsi="仿宋" w:eastAsia="仿宋"/>
          <w:sz w:val="32"/>
          <w:szCs w:val="32"/>
        </w:rPr>
      </w:pPr>
    </w:p>
    <w:p w14:paraId="559ACF8B">
      <w:pPr>
        <w:rPr>
          <w:rFonts w:ascii="仿宋" w:hAnsi="仿宋" w:eastAsia="仿宋"/>
          <w:sz w:val="32"/>
          <w:szCs w:val="32"/>
        </w:rPr>
      </w:pPr>
    </w:p>
    <w:p w14:paraId="5A0A2A85">
      <w:pPr>
        <w:rPr>
          <w:rFonts w:ascii="仿宋" w:hAnsi="仿宋" w:eastAsia="仿宋"/>
          <w:sz w:val="32"/>
          <w:szCs w:val="32"/>
        </w:rPr>
      </w:pPr>
    </w:p>
    <w:p w14:paraId="4E2C45D9">
      <w:pPr>
        <w:rPr>
          <w:rFonts w:ascii="仿宋" w:hAnsi="仿宋" w:eastAsia="仿宋"/>
          <w:sz w:val="32"/>
          <w:szCs w:val="32"/>
        </w:rPr>
      </w:pPr>
    </w:p>
    <w:p w14:paraId="7BE46BE3">
      <w:pPr>
        <w:rPr>
          <w:rFonts w:ascii="仿宋" w:hAnsi="仿宋" w:eastAsia="仿宋"/>
          <w:sz w:val="32"/>
          <w:szCs w:val="32"/>
        </w:rPr>
      </w:pPr>
    </w:p>
    <w:p w14:paraId="24E24A56">
      <w:pPr>
        <w:jc w:val="center"/>
        <w:rPr>
          <w:rFonts w:ascii="黑体" w:hAnsi="黑体" w:eastAsia="黑体"/>
          <w:sz w:val="32"/>
          <w:szCs w:val="32"/>
        </w:rPr>
      </w:pPr>
    </w:p>
    <w:p w14:paraId="22D03C65">
      <w:pPr>
        <w:jc w:val="center"/>
        <w:rPr>
          <w:rFonts w:ascii="黑体" w:hAnsi="黑体" w:eastAsia="黑体"/>
          <w:sz w:val="32"/>
          <w:szCs w:val="32"/>
        </w:rPr>
      </w:pPr>
    </w:p>
    <w:p w14:paraId="3B0413FC">
      <w:pPr>
        <w:jc w:val="center"/>
        <w:rPr>
          <w:rFonts w:ascii="黑体" w:hAnsi="黑体" w:eastAsia="黑体"/>
          <w:sz w:val="32"/>
          <w:szCs w:val="32"/>
        </w:rPr>
      </w:pPr>
    </w:p>
    <w:p w14:paraId="73B03E32">
      <w:pPr>
        <w:jc w:val="both"/>
        <w:rPr>
          <w:rFonts w:ascii="黑体" w:hAnsi="黑体" w:eastAsia="黑体"/>
          <w:sz w:val="32"/>
          <w:szCs w:val="32"/>
        </w:rPr>
      </w:pPr>
      <w:bookmarkStart w:id="0" w:name="_GoBack"/>
      <w:bookmarkEnd w:id="0"/>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索县加勤乡小学</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62D52AD9">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校</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年收支总预算2845.64万元，财政拨款收入2845.64万元。收入包括：一般公共预算拨款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收入2802.69万元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一般公共预算上年结转42.95万元</w:t>
      </w:r>
      <w:r>
        <w:rPr>
          <w:rFonts w:hint="eastAsia" w:ascii="仿宋" w:hAnsi="仿宋" w:eastAsia="仿宋"/>
          <w:sz w:val="32"/>
          <w:szCs w:val="32"/>
        </w:rPr>
        <w:t>；支出包括：教育支出2438.34万元、社会保障和就业支出212.36万元、卫生健康支出112.75万元、住房保障支出82.19万元。</w:t>
      </w:r>
    </w:p>
    <w:p w14:paraId="3D949A43">
      <w:pPr>
        <w:rPr>
          <w:rFonts w:hint="eastAsia" w:ascii="仿宋" w:hAnsi="仿宋" w:eastAsia="仿宋"/>
          <w:sz w:val="32"/>
          <w:szCs w:val="32"/>
        </w:rPr>
      </w:pPr>
      <w:r>
        <w:drawing>
          <wp:inline distT="0" distB="0" distL="114300" distR="114300">
            <wp:extent cx="4653280" cy="2225040"/>
            <wp:effectExtent l="4445" t="4445" r="5715" b="1079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lang w:val="en-US" w:eastAsia="zh-CN"/>
        </w:rPr>
        <w:t xml:space="preserve">      </w:t>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eastAsia" w:ascii="仿宋" w:hAnsi="仿宋" w:eastAsia="仿宋"/>
          <w:sz w:val="32"/>
          <w:szCs w:val="32"/>
        </w:rPr>
      </w:pPr>
      <w:r>
        <w:rPr>
          <w:rFonts w:hint="eastAsia" w:ascii="仿宋" w:hAnsi="仿宋" w:eastAsia="仿宋"/>
          <w:sz w:val="32"/>
          <w:szCs w:val="32"/>
        </w:rPr>
        <w:t>当年收入预算2802.69万元，其中：一般公共预算拨款收入总额2802.69万元。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2845.64</w:t>
      </w:r>
      <w:r>
        <w:rPr>
          <w:rFonts w:hint="eastAsia" w:ascii="仿宋" w:hAnsi="仿宋" w:eastAsia="仿宋"/>
          <w:sz w:val="36"/>
          <w:szCs w:val="36"/>
        </w:rPr>
        <w:t>万元，其中：基本支出2822.34万元，占</w:t>
      </w:r>
      <w:r>
        <w:rPr>
          <w:rFonts w:hint="eastAsia" w:ascii="仿宋" w:hAnsi="仿宋" w:eastAsia="仿宋"/>
          <w:sz w:val="36"/>
          <w:szCs w:val="36"/>
          <w:lang w:val="en-US" w:eastAsia="zh-CN"/>
        </w:rPr>
        <w:t>99.18</w:t>
      </w:r>
      <w:r>
        <w:rPr>
          <w:rFonts w:hint="eastAsia" w:ascii="仿宋" w:hAnsi="仿宋" w:eastAsia="仿宋"/>
          <w:sz w:val="36"/>
          <w:szCs w:val="36"/>
        </w:rPr>
        <w:t>%；项目支出23.30万元，占</w:t>
      </w:r>
      <w:r>
        <w:rPr>
          <w:rFonts w:hint="eastAsia" w:ascii="仿宋" w:hAnsi="仿宋" w:eastAsia="仿宋"/>
          <w:sz w:val="36"/>
          <w:szCs w:val="36"/>
          <w:lang w:val="en-US" w:eastAsia="zh-CN"/>
        </w:rPr>
        <w:t>0.82</w:t>
      </w:r>
      <w:r>
        <w:rPr>
          <w:rFonts w:hint="eastAsia" w:ascii="仿宋" w:hAnsi="仿宋" w:eastAsia="仿宋"/>
          <w:sz w:val="36"/>
          <w:szCs w:val="36"/>
        </w:rPr>
        <w:t>%。</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3A34EBA5">
      <w:pPr>
        <w:ind w:firstLine="640" w:firstLineChars="200"/>
        <w:jc w:val="lef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总预算2845.64万元。202</w:t>
      </w:r>
      <w:r>
        <w:rPr>
          <w:rFonts w:hint="eastAsia" w:ascii="仿宋" w:hAnsi="仿宋" w:eastAsia="仿宋"/>
          <w:sz w:val="32"/>
          <w:szCs w:val="32"/>
          <w:lang w:val="en-US" w:eastAsia="zh-CN"/>
        </w:rPr>
        <w:t>5</w:t>
      </w:r>
      <w:r>
        <w:rPr>
          <w:rFonts w:hint="eastAsia" w:ascii="仿宋" w:hAnsi="仿宋" w:eastAsia="仿宋"/>
          <w:sz w:val="32"/>
          <w:szCs w:val="32"/>
        </w:rPr>
        <w:t>年总预算资金为2845.64万元；202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年年初预算下达支出包括：教育支出2438.34万元、社会保障和就业支出212.36万元、卫生健康支出112.75万元、住房保障支出82.19万元。</w:t>
      </w: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3720EDDB">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2025年一般公共预算当年拨款</w:t>
      </w:r>
      <w:r>
        <w:rPr>
          <w:rFonts w:hint="eastAsia" w:ascii="仿宋" w:hAnsi="仿宋" w:eastAsia="仿宋"/>
          <w:sz w:val="32"/>
          <w:szCs w:val="32"/>
          <w:lang w:val="en-US" w:eastAsia="zh-CN"/>
        </w:rPr>
        <w:t>2845.64</w:t>
      </w:r>
      <w:r>
        <w:rPr>
          <w:rFonts w:hint="eastAsia" w:ascii="仿宋" w:hAnsi="仿宋" w:eastAsia="仿宋"/>
          <w:sz w:val="32"/>
          <w:szCs w:val="32"/>
        </w:rPr>
        <w:t>万元,比2024 年执行数</w:t>
      </w:r>
      <w:r>
        <w:rPr>
          <w:rFonts w:hint="eastAsia" w:ascii="仿宋" w:hAnsi="仿宋" w:eastAsia="仿宋"/>
          <w:sz w:val="32"/>
          <w:szCs w:val="32"/>
          <w:lang w:val="en-US" w:eastAsia="zh-CN"/>
        </w:rPr>
        <w:t>(2414.95万元)增加</w:t>
      </w:r>
      <w:r>
        <w:rPr>
          <w:rFonts w:hint="eastAsia" w:ascii="仿宋" w:hAnsi="仿宋" w:eastAsia="仿宋"/>
          <w:sz w:val="32"/>
          <w:szCs w:val="32"/>
          <w:u w:val="none"/>
          <w:lang w:val="en-US" w:eastAsia="zh-CN"/>
        </w:rPr>
        <w:t>430.69</w:t>
      </w:r>
      <w:r>
        <w:rPr>
          <w:rFonts w:hint="eastAsia" w:ascii="仿宋" w:hAnsi="仿宋" w:eastAsia="仿宋"/>
          <w:sz w:val="32"/>
          <w:szCs w:val="32"/>
        </w:rPr>
        <w:t>万元，主要原因：</w:t>
      </w:r>
      <w:r>
        <w:rPr>
          <w:rFonts w:hint="eastAsia" w:ascii="仿宋" w:hAnsi="仿宋" w:eastAsia="仿宋"/>
          <w:sz w:val="32"/>
          <w:szCs w:val="32"/>
          <w:lang w:val="en-US" w:eastAsia="zh-CN"/>
        </w:rPr>
        <w:t>一是包含上年结转资金;二是人数变化及保障标准调整。</w:t>
      </w:r>
    </w:p>
    <w:p w14:paraId="78A758B0">
      <w:pPr>
        <w:rPr>
          <w:rFonts w:ascii="楷体" w:hAnsi="楷体" w:eastAsia="楷体"/>
          <w:sz w:val="32"/>
          <w:szCs w:val="32"/>
        </w:rPr>
      </w:pPr>
      <w:r>
        <w:rPr>
          <w:rFonts w:hint="eastAsia" w:ascii="楷体" w:hAnsi="楷体" w:eastAsia="楷体"/>
          <w:sz w:val="32"/>
          <w:szCs w:val="32"/>
        </w:rPr>
        <w:t>（二）一般公共预算当年拨款结构情况。</w:t>
      </w:r>
    </w:p>
    <w:p w14:paraId="38B129ED">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教育</w:t>
      </w:r>
      <w:r>
        <w:rPr>
          <w:rFonts w:hint="eastAsia" w:ascii="仿宋" w:hAnsi="仿宋" w:eastAsia="仿宋"/>
          <w:sz w:val="32"/>
          <w:szCs w:val="32"/>
        </w:rPr>
        <w:t>2438.34万元</w:t>
      </w:r>
      <w:r>
        <w:rPr>
          <w:rFonts w:hint="eastAsia" w:ascii="仿宋" w:hAnsi="仿宋" w:eastAsia="仿宋"/>
          <w:sz w:val="32"/>
          <w:szCs w:val="32"/>
          <w:lang w:eastAsia="zh-CN"/>
        </w:rPr>
        <w:t>，</w:t>
      </w:r>
      <w:r>
        <w:rPr>
          <w:rFonts w:hint="eastAsia" w:ascii="仿宋" w:hAnsi="仿宋" w:eastAsia="仿宋"/>
          <w:sz w:val="32"/>
          <w:szCs w:val="32"/>
          <w:lang w:val="en-US" w:eastAsia="zh-CN"/>
        </w:rPr>
        <w:t>占86%；</w:t>
      </w:r>
      <w:r>
        <w:rPr>
          <w:rFonts w:hint="eastAsia" w:ascii="仿宋" w:hAnsi="仿宋" w:eastAsia="仿宋"/>
          <w:sz w:val="32"/>
          <w:szCs w:val="32"/>
        </w:rPr>
        <w:t>社会保障和就业支出212.36万元</w:t>
      </w:r>
      <w:r>
        <w:rPr>
          <w:rFonts w:hint="eastAsia" w:ascii="仿宋" w:hAnsi="仿宋" w:eastAsia="仿宋"/>
          <w:sz w:val="32"/>
          <w:szCs w:val="32"/>
          <w:lang w:eastAsia="zh-CN"/>
        </w:rPr>
        <w:t>，</w:t>
      </w:r>
      <w:r>
        <w:rPr>
          <w:rFonts w:hint="eastAsia" w:ascii="仿宋" w:hAnsi="仿宋" w:eastAsia="仿宋"/>
          <w:sz w:val="32"/>
          <w:szCs w:val="32"/>
          <w:lang w:val="en-US" w:eastAsia="zh-CN"/>
        </w:rPr>
        <w:t>占7%；</w:t>
      </w:r>
      <w:r>
        <w:rPr>
          <w:rFonts w:hint="eastAsia" w:ascii="仿宋" w:hAnsi="仿宋" w:eastAsia="仿宋"/>
          <w:sz w:val="32"/>
          <w:szCs w:val="32"/>
        </w:rPr>
        <w:t>卫生健康支出112.75万元</w:t>
      </w:r>
      <w:r>
        <w:rPr>
          <w:rFonts w:hint="eastAsia" w:ascii="仿宋" w:hAnsi="仿宋" w:eastAsia="仿宋"/>
          <w:sz w:val="32"/>
          <w:szCs w:val="32"/>
          <w:lang w:eastAsia="zh-CN"/>
        </w:rPr>
        <w:t>，</w:t>
      </w:r>
      <w:r>
        <w:rPr>
          <w:rFonts w:hint="eastAsia" w:ascii="仿宋" w:hAnsi="仿宋" w:eastAsia="仿宋"/>
          <w:sz w:val="32"/>
          <w:szCs w:val="32"/>
          <w:lang w:val="en-US" w:eastAsia="zh-CN"/>
        </w:rPr>
        <w:t>占4%；</w:t>
      </w:r>
      <w:r>
        <w:rPr>
          <w:rFonts w:hint="eastAsia" w:ascii="仿宋" w:hAnsi="仿宋" w:eastAsia="仿宋"/>
          <w:sz w:val="32"/>
          <w:szCs w:val="32"/>
        </w:rPr>
        <w:t>住房保障支出82.19万元</w:t>
      </w:r>
      <w:r>
        <w:rPr>
          <w:rFonts w:hint="eastAsia" w:ascii="仿宋" w:hAnsi="仿宋" w:eastAsia="仿宋"/>
          <w:sz w:val="32"/>
          <w:szCs w:val="32"/>
          <w:lang w:eastAsia="zh-CN"/>
        </w:rPr>
        <w:t>，</w:t>
      </w:r>
      <w:r>
        <w:rPr>
          <w:rFonts w:hint="eastAsia" w:ascii="仿宋" w:hAnsi="仿宋" w:eastAsia="仿宋"/>
          <w:sz w:val="32"/>
          <w:szCs w:val="32"/>
          <w:lang w:val="en-US" w:eastAsia="zh-CN"/>
        </w:rPr>
        <w:t>占3%。</w:t>
      </w:r>
    </w:p>
    <w:p w14:paraId="436DA95D">
      <w:pPr>
        <w:rPr>
          <w:rFonts w:hint="eastAsia" w:ascii="仿宋" w:hAnsi="仿宋" w:eastAsia="仿宋"/>
          <w:sz w:val="32"/>
          <w:szCs w:val="32"/>
        </w:rPr>
      </w:pPr>
      <w:r>
        <w:drawing>
          <wp:inline distT="0" distB="0" distL="114300" distR="114300">
            <wp:extent cx="4425315" cy="1935480"/>
            <wp:effectExtent l="4445" t="4445" r="5080" b="10795"/>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3E1443C6">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教育支出（类）普通教育（款）学前教育（项）2025年预算数为22.30万元，2024年执行数为0.00万元，比2024年预算数增加22.3万元，上升100%。主要原因为</w:t>
      </w:r>
      <w:r>
        <w:rPr>
          <w:rFonts w:hint="eastAsia" w:ascii="仿宋" w:hAnsi="仿宋" w:eastAsia="仿宋"/>
          <w:color w:val="auto"/>
          <w:sz w:val="32"/>
          <w:szCs w:val="32"/>
          <w:lang w:val="en-US" w:eastAsia="zh-CN"/>
        </w:rPr>
        <w:t>教玩具及设备购置经费。</w:t>
      </w:r>
    </w:p>
    <w:p w14:paraId="392FA805">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教育支出（类）普通教育（款）小学教育（项）2025年预算数为2402.83万元，2024年执行数为2097.17万元，比2024年预算数增加305.66元，上升14.57%。主要原因为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66A80589">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教育支出（类）普通教育（款）其他普通教育支出（项）2025年预算数为13.21万元，2024年执行数为0.00万元,比2024年预算数增加13.21万元，增加100%。主要原因是其他长聘人员经费。</w:t>
      </w:r>
    </w:p>
    <w:p w14:paraId="232617DF">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社会保障和就业支出（类）行政事业单位养老支出（款）机关事业单位基本养老保险缴费支出（项）2025年预算数为204.49万元，2024年执行数为177.73万元，比2024年预算数减少26.76万元，下降15.06%。主要原因为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3AB6A53D">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社会保障和就业支出（类）财政对其他社会保险基金的补助（款）财政对失业保险基金的补助（项）2025年预算数为6.48万元，2024年执行数为4.72万元，比2024年预算数增加1.76万元，上升37.29%。主要原因为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63974970">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社会保障和就业支出（类）财政对其他社会保险基金的补助（款）财政对工伤保险基金的补助（项）2025年预算数为1.39万元，2024年执行数为0.94万元，比2024年预算数增加0.45万元，上升45%。主要原因为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433F4E3">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卫生健康支出（类）行政事业单位医疗（款）事业单位医疗（款）2025年预算数为101.95万元，2024年执行数为0.00万元，比2024年预算数增加101.95万元，增加100%。主要原因为2024年事业单位医疗保险预算功能科目为财政对职工基本医疗保险基金的补助。</w:t>
      </w:r>
    </w:p>
    <w:p w14:paraId="54346641">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卫生健康支出（类）行政事业单位医疗（款）其他行政事业单位医疗支出（款）2025年预算数为10.80万元，2024年执行数为0.00万元，比2024年预算数增加10.80万元，增加100%。主要原因为2024年其他行政事业单位医疗保险预算功能科目为财政对职工基本医疗保险基金的补助。</w:t>
      </w:r>
    </w:p>
    <w:p w14:paraId="53E072E1">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住房保障支出（类）住房改革支出（款）住房公积金（项）2025年预算数为82.19万元，2024年执行数为48.28万元，比2024年预算数增加33.91万元，增加70.24%。主要原因为人员经费正常保障。</w:t>
      </w:r>
    </w:p>
    <w:p w14:paraId="1F1E12E8">
      <w:pPr>
        <w:ind w:firstLine="640" w:firstLineChars="200"/>
        <w:rPr>
          <w:rFonts w:hint="eastAsia" w:ascii="仿宋" w:hAnsi="仿宋" w:eastAsia="仿宋"/>
          <w:sz w:val="32"/>
          <w:szCs w:val="32"/>
        </w:rPr>
      </w:pPr>
    </w:p>
    <w:p w14:paraId="7098C977">
      <w:pPr>
        <w:rPr>
          <w:rFonts w:ascii="黑体" w:hAnsi="黑体" w:eastAsia="黑体"/>
          <w:sz w:val="32"/>
          <w:szCs w:val="32"/>
        </w:rPr>
      </w:pPr>
      <w:r>
        <w:rPr>
          <w:rFonts w:hint="eastAsia" w:ascii="黑体" w:hAnsi="黑体" w:eastAsia="黑体"/>
          <w:sz w:val="32"/>
          <w:szCs w:val="32"/>
        </w:rPr>
        <w:t>六、2025年一般公共预算基本支出表的说明</w:t>
      </w:r>
    </w:p>
    <w:p w14:paraId="06D8F717">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none"/>
        </w:rPr>
        <w:t>2822.34</w:t>
      </w:r>
      <w:r>
        <w:rPr>
          <w:rFonts w:hint="eastAsia" w:ascii="仿宋" w:hAnsi="仿宋" w:eastAsia="仿宋"/>
          <w:sz w:val="32"/>
          <w:szCs w:val="32"/>
        </w:rPr>
        <w:t>万元，其中：</w:t>
      </w:r>
    </w:p>
    <w:p w14:paraId="729FA427">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rPr>
        <w:t>2627.57</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rPr>
        <w:t>194.76</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4800A43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本校无三公经费预算</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本单位无政府性基金预算</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4D3E0257">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本校为事业单位，无机关运行经费</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w:t>
      </w:r>
      <w:r>
        <w:rPr>
          <w:rFonts w:hint="eastAsia" w:ascii="仿宋" w:hAnsi="仿宋" w:eastAsia="仿宋"/>
          <w:sz w:val="32"/>
          <w:szCs w:val="32"/>
          <w:u w:val="none"/>
          <w:lang w:val="en-US" w:eastAsia="zh-CN"/>
        </w:rPr>
        <w:t>本校国有资产均在教育局核算</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266D857C">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2025年实现财政支出绩效目标管理全覆盖，</w:t>
      </w:r>
      <w:r>
        <w:rPr>
          <w:rFonts w:hint="eastAsia" w:ascii="仿宋" w:hAnsi="仿宋" w:eastAsia="仿宋"/>
          <w:sz w:val="32"/>
          <w:szCs w:val="32"/>
          <w:u w:val="none"/>
          <w:lang w:val="en-US" w:eastAsia="zh-CN"/>
        </w:rPr>
        <w:t>项目预算均在县教育局，绩效目标在教育局预算公开体现。</w:t>
      </w:r>
    </w:p>
    <w:p w14:paraId="0ABCE95F">
      <w:pPr>
        <w:rPr>
          <w:rFonts w:ascii="仿宋" w:hAnsi="仿宋" w:eastAsia="仿宋"/>
          <w:sz w:val="32"/>
          <w:szCs w:val="32"/>
        </w:rPr>
      </w:pPr>
    </w:p>
    <w:p w14:paraId="5365949A">
      <w:pPr>
        <w:rPr>
          <w:rFonts w:ascii="仿宋" w:hAnsi="仿宋" w:eastAsia="仿宋"/>
          <w:sz w:val="32"/>
          <w:szCs w:val="32"/>
        </w:rPr>
      </w:pPr>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16AA1"/>
    <w:multiLevelType w:val="singleLevel"/>
    <w:tmpl w:val="2AD16AA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4E2157A"/>
    <w:rsid w:val="070B4DB8"/>
    <w:rsid w:val="0717460E"/>
    <w:rsid w:val="0B8821DB"/>
    <w:rsid w:val="0C2F32F7"/>
    <w:rsid w:val="0C61547A"/>
    <w:rsid w:val="0D1A5D55"/>
    <w:rsid w:val="0E4A1958"/>
    <w:rsid w:val="13547AE7"/>
    <w:rsid w:val="13E722EB"/>
    <w:rsid w:val="149F2FE4"/>
    <w:rsid w:val="19A846E9"/>
    <w:rsid w:val="1D556936"/>
    <w:rsid w:val="200A1C59"/>
    <w:rsid w:val="231F5A1C"/>
    <w:rsid w:val="263E265D"/>
    <w:rsid w:val="26CA3EF0"/>
    <w:rsid w:val="27F14747"/>
    <w:rsid w:val="281A2C55"/>
    <w:rsid w:val="2B382161"/>
    <w:rsid w:val="2C256B98"/>
    <w:rsid w:val="2C35005E"/>
    <w:rsid w:val="2CB82A3D"/>
    <w:rsid w:val="2D2B1461"/>
    <w:rsid w:val="2FB27C17"/>
    <w:rsid w:val="3071362F"/>
    <w:rsid w:val="33EB36F8"/>
    <w:rsid w:val="380A05F1"/>
    <w:rsid w:val="3F3C12AC"/>
    <w:rsid w:val="417E5BAB"/>
    <w:rsid w:val="470703F1"/>
    <w:rsid w:val="47947ED7"/>
    <w:rsid w:val="47C6205A"/>
    <w:rsid w:val="48B16866"/>
    <w:rsid w:val="4D1D271C"/>
    <w:rsid w:val="4F455F5A"/>
    <w:rsid w:val="4FA40ED3"/>
    <w:rsid w:val="549C661D"/>
    <w:rsid w:val="58BA3515"/>
    <w:rsid w:val="5919648E"/>
    <w:rsid w:val="59D47994"/>
    <w:rsid w:val="5C1B251D"/>
    <w:rsid w:val="5C806824"/>
    <w:rsid w:val="5E5D6E1D"/>
    <w:rsid w:val="622F0AD0"/>
    <w:rsid w:val="63FF2724"/>
    <w:rsid w:val="66F61F2A"/>
    <w:rsid w:val="67851192"/>
    <w:rsid w:val="69AE49D0"/>
    <w:rsid w:val="6D747CDF"/>
    <w:rsid w:val="6E411813"/>
    <w:rsid w:val="6E737F96"/>
    <w:rsid w:val="73A34E7A"/>
    <w:rsid w:val="74F33BDF"/>
    <w:rsid w:val="761738FD"/>
    <w:rsid w:val="771B741D"/>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ovo\Desktop\&#26032;&#24314;&#25991;&#20214;&#22841;\&#32034;&#21439;-&#21152;&#21220;&#20065;&#23567;&#23398;\&#37096;&#38376;&#39044;&#31639;&#20844;&#24320;&#34920;(&#21152;&#21220;&#20065;&#23567;&#23398;).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6032;&#24314;&#25991;&#20214;&#22841;\&#32034;&#21439;-&#21152;&#21220;&#20065;&#23567;&#23398;\&#37096;&#38376;&#39044;&#31639;&#20844;&#24320;&#34920;(&#21152;&#21220;&#20065;&#23567;&#2339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收支预算总表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'[部门预算公开表(加勤乡小学).xlsx]Sheet1'!$A$1:$A$4</c:f>
              <c:strCache>
                <c:ptCount val="4"/>
                <c:pt idx="0">
                  <c:v>教育支出</c:v>
                </c:pt>
                <c:pt idx="1">
                  <c:v>社会保障和就业支出</c:v>
                </c:pt>
                <c:pt idx="2">
                  <c:v>卫生健康支出</c:v>
                </c:pt>
                <c:pt idx="3">
                  <c:v>住房保障支出</c:v>
                </c:pt>
              </c:strCache>
            </c:strRef>
          </c:cat>
          <c:val>
            <c:numRef>
              <c:f>'[部门预算公开表(加勤乡小学).xlsx]Sheet1'!$B$1:$B$4</c:f>
              <c:numCache>
                <c:formatCode>General</c:formatCode>
                <c:ptCount val="4"/>
                <c:pt idx="0">
                  <c:v>2438.34</c:v>
                </c:pt>
                <c:pt idx="1">
                  <c:v>212.36</c:v>
                </c:pt>
                <c:pt idx="2">
                  <c:v>112.75</c:v>
                </c:pt>
                <c:pt idx="3">
                  <c:v>82.19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b3826a-f9b1-43bf-9dc4-77037063a77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一般公共预算拨款结构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'[部门预算公开表(加勤乡小学).xlsx]Sheet1'!$A$1:$A$4</c:f>
              <c:strCache>
                <c:ptCount val="4"/>
                <c:pt idx="0">
                  <c:v>教育支出</c:v>
                </c:pt>
                <c:pt idx="1">
                  <c:v>社会保障和就业支出</c:v>
                </c:pt>
                <c:pt idx="2">
                  <c:v>卫生健康支出</c:v>
                </c:pt>
                <c:pt idx="3">
                  <c:v>住房保障支出</c:v>
                </c:pt>
              </c:strCache>
            </c:strRef>
          </c:cat>
          <c:val>
            <c:numRef>
              <c:f>'[部门预算公开表(加勤乡小学).xlsx]Sheet1'!$B$1:$B$4</c:f>
              <c:numCache>
                <c:formatCode>General</c:formatCode>
                <c:ptCount val="4"/>
                <c:pt idx="0">
                  <c:v>2438.34</c:v>
                </c:pt>
                <c:pt idx="1">
                  <c:v>212.36</c:v>
                </c:pt>
                <c:pt idx="2">
                  <c:v>112.75</c:v>
                </c:pt>
                <c:pt idx="3">
                  <c:v>82.19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eb3826a-f9b1-43bf-9dc4-77037063a77a}"/>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12</Pages>
  <Words>3378</Words>
  <Characters>3876</Characters>
  <Lines>27</Lines>
  <Paragraphs>7</Paragraphs>
  <TotalTime>8</TotalTime>
  <ScaleCrop>false</ScaleCrop>
  <LinksUpToDate>false</LinksUpToDate>
  <CharactersWithSpaces>3896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板砖</cp:lastModifiedBy>
  <cp:lastPrinted>2021-01-27T11:28:00Z</cp:lastPrinted>
  <dcterms:modified xsi:type="dcterms:W3CDTF">2025-02-10T13:44:00Z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eyJoZGlkIjoiMjljMDI2OTlkMDIzMjI1YTZhOThiYmRkMjBjZTM3NGUiLCJ1c2VySWQiOiI0MjY4NjYwODUifQ==</vt:lpwstr>
  </property>
  <property fmtid="{D5CDD505-2E9C-101B-9397-08002B2CF9AE}" pid="3" name="KSOProductBuildVer">
    <vt:lpwstr>2052-12.1.0.19770</vt:lpwstr>
  </property>
  <property fmtid="{D5CDD505-2E9C-101B-9397-08002B2CF9AE}" pid="4" name="ICV">
    <vt:lpwstr>49EB0BD6DACE46FD8A38B511C0408166_12</vt:lpwstr>
  </property>
</Properties>
</file>