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lang w:val="en-US" w:eastAsia="zh-CN"/>
        </w:rPr>
        <w:t>索县第二小学</w:t>
      </w:r>
      <w:r>
        <w:rPr>
          <w:rFonts w:hint="eastAsia" w:ascii="方正小标宋简体" w:hAnsi="仿宋" w:eastAsia="方正小标宋简体"/>
          <w:sz w:val="44"/>
          <w:szCs w:val="44"/>
        </w:rPr>
        <w:t>2025年度部门预算</w:t>
      </w:r>
    </w:p>
    <w:bookmarkEnd w:id="0"/>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索县第二小学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索县第二小学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索县第二小学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索县第二小学</w:t>
      </w:r>
      <w:r>
        <w:rPr>
          <w:rFonts w:hint="eastAsia" w:ascii="方正小标宋简体" w:hAnsi="仿宋" w:eastAsia="方正小标宋简体"/>
          <w:sz w:val="32"/>
          <w:szCs w:val="32"/>
        </w:rPr>
        <w:t>概况</w:t>
      </w:r>
    </w:p>
    <w:p w14:paraId="2C8C3774">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第二小学是一所具有深厚历史底蕴与卓越教育品质的公立小学，坐落于索县县城，周边环境优美，交通便利，为学生提供了良好的学习和生活环境。学校占地面积45000平方米，建筑面积5830平方米，拥有现代化的教学楼、实验楼、体育馆、图书馆等教学设施，教学设备先进，功能齐全，为素质教育的全面实施提供了坚实保障。</w:t>
      </w:r>
    </w:p>
    <w:p w14:paraId="16994C41">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p>
    <w:p w14:paraId="139776CE">
      <w:pPr>
        <w:ind w:firstLine="640" w:firstLineChars="200"/>
        <w:rPr>
          <w:rFonts w:hint="eastAsia" w:ascii="仿宋" w:hAnsi="仿宋" w:eastAsia="仿宋"/>
          <w:sz w:val="32"/>
          <w:szCs w:val="32"/>
        </w:rPr>
      </w:pPr>
      <w:r>
        <w:rPr>
          <w:rFonts w:hint="eastAsia" w:ascii="仿宋" w:hAnsi="仿宋" w:eastAsia="仿宋"/>
          <w:sz w:val="32"/>
          <w:szCs w:val="32"/>
          <w:lang w:eastAsia="zh-CN"/>
        </w:rPr>
        <w:t>学校现有38个教学班，学生1774人，专任教师93人。教师队伍学历层次高，业务能力强，其中本科及以上学历教师占比86%，中高级职称教师占比35%。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索县第二小学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索县第二小学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年收支总预算4,443.67万元，财政拨款收入4,443.67万元。收入包括：一般公共预算拨款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收入4370.87万元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一般公共预算上年结转72.80万元</w:t>
      </w:r>
      <w:r>
        <w:rPr>
          <w:rFonts w:hint="eastAsia" w:ascii="仿宋" w:hAnsi="仿宋" w:eastAsia="仿宋"/>
          <w:sz w:val="32"/>
          <w:szCs w:val="32"/>
        </w:rPr>
        <w:t>；支出包括：教育支出3,809.10万元、社会保障和就业支出345.93万元、卫生健康支出178.64万元、住房保障支出110.00</w:t>
      </w:r>
      <w:r>
        <w:rPr>
          <w:rFonts w:hint="eastAsia" w:ascii="仿宋" w:hAnsi="仿宋" w:eastAsia="仿宋"/>
          <w:sz w:val="32"/>
          <w:szCs w:val="32"/>
          <w:lang w:val="en-US" w:eastAsia="zh-CN"/>
        </w:rPr>
        <w:t>万</w:t>
      </w:r>
      <w:r>
        <w:rPr>
          <w:rFonts w:hint="eastAsia" w:ascii="仿宋" w:hAnsi="仿宋" w:eastAsia="仿宋"/>
          <w:sz w:val="32"/>
          <w:szCs w:val="32"/>
        </w:rPr>
        <w:t>元。</w:t>
      </w:r>
      <w:r>
        <w:drawing>
          <wp:inline distT="0" distB="0" distL="114300" distR="114300">
            <wp:extent cx="4919980" cy="1974850"/>
            <wp:effectExtent l="5080" t="4445" r="8890" b="209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949A43">
      <w:pPr>
        <w:ind w:firstLine="420" w:firstLineChars="200"/>
        <w:rPr>
          <w:rFonts w:hint="eastAsia" w:ascii="仿宋" w:hAnsi="仿宋" w:eastAsia="仿宋"/>
          <w:sz w:val="32"/>
          <w:szCs w:val="32"/>
        </w:rPr>
      </w:pPr>
      <w:r>
        <w:rPr>
          <w:rFonts w:hint="eastAsia"/>
          <w:lang w:val="en-US" w:eastAsia="zh-CN"/>
        </w:rPr>
        <w:t xml:space="preserve">      </w:t>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当年收入预算4370.87万元，其中：一般公共预算拨款收入总额4370.87万元。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4,443.67</w:t>
      </w:r>
      <w:r>
        <w:rPr>
          <w:rFonts w:hint="eastAsia" w:ascii="仿宋" w:hAnsi="仿宋" w:eastAsia="仿宋"/>
          <w:sz w:val="36"/>
          <w:szCs w:val="36"/>
        </w:rPr>
        <w:t>万元，其中：基本支出4,442.67万元，占</w:t>
      </w:r>
      <w:r>
        <w:rPr>
          <w:rFonts w:hint="eastAsia" w:ascii="仿宋" w:hAnsi="仿宋" w:eastAsia="仿宋"/>
          <w:sz w:val="36"/>
          <w:szCs w:val="36"/>
          <w:lang w:val="en-US" w:eastAsia="zh-CN"/>
        </w:rPr>
        <w:t>99.97</w:t>
      </w:r>
      <w:r>
        <w:rPr>
          <w:rFonts w:hint="eastAsia" w:ascii="仿宋" w:hAnsi="仿宋" w:eastAsia="仿宋"/>
          <w:sz w:val="36"/>
          <w:szCs w:val="36"/>
        </w:rPr>
        <w:t>%；项目支出1.00万元，占</w:t>
      </w:r>
      <w:r>
        <w:rPr>
          <w:rFonts w:hint="eastAsia" w:ascii="仿宋" w:hAnsi="仿宋" w:eastAsia="仿宋"/>
          <w:sz w:val="36"/>
          <w:szCs w:val="36"/>
          <w:lang w:val="en-US" w:eastAsia="zh-CN"/>
        </w:rPr>
        <w:t>0.02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总预算4443.67万元。202</w:t>
      </w:r>
      <w:r>
        <w:rPr>
          <w:rFonts w:hint="eastAsia" w:ascii="仿宋" w:hAnsi="仿宋" w:eastAsia="仿宋"/>
          <w:sz w:val="32"/>
          <w:szCs w:val="32"/>
          <w:lang w:val="en-US" w:eastAsia="zh-CN"/>
        </w:rPr>
        <w:t>5</w:t>
      </w:r>
      <w:r>
        <w:rPr>
          <w:rFonts w:hint="eastAsia" w:ascii="仿宋" w:hAnsi="仿宋" w:eastAsia="仿宋"/>
          <w:sz w:val="32"/>
          <w:szCs w:val="32"/>
        </w:rPr>
        <w:t>年总预算资金为4443.67万元；202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年年初预算下达支出包括：教育支出3,809.10万元、社会保障和就业支出345.93万元、卫生健康支出178.64万元、住房保障支出110.00</w:t>
      </w:r>
      <w:r>
        <w:rPr>
          <w:rFonts w:hint="eastAsia" w:ascii="仿宋" w:hAnsi="仿宋" w:eastAsia="仿宋"/>
          <w:sz w:val="32"/>
          <w:szCs w:val="32"/>
          <w:lang w:val="en-US" w:eastAsia="zh-CN"/>
        </w:rPr>
        <w:t>万</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2025年一般公共预算当年拨款4443.67万元,比2024 年执行数</w:t>
      </w:r>
      <w:r>
        <w:rPr>
          <w:rFonts w:hint="eastAsia" w:ascii="仿宋" w:hAnsi="仿宋" w:eastAsia="仿宋"/>
          <w:sz w:val="32"/>
          <w:szCs w:val="32"/>
          <w:lang w:val="en-US" w:eastAsia="zh-CN"/>
        </w:rPr>
        <w:t>(</w:t>
      </w:r>
      <w:r>
        <w:rPr>
          <w:rFonts w:hint="eastAsia" w:ascii="仿宋" w:hAnsi="仿宋" w:eastAsia="仿宋"/>
          <w:sz w:val="32"/>
          <w:szCs w:val="32"/>
        </w:rPr>
        <w:t>4364.1</w:t>
      </w:r>
      <w:r>
        <w:rPr>
          <w:rFonts w:hint="eastAsia" w:ascii="仿宋" w:hAnsi="仿宋" w:eastAsia="仿宋"/>
          <w:sz w:val="32"/>
          <w:szCs w:val="32"/>
          <w:lang w:val="en-US" w:eastAsia="zh-CN"/>
        </w:rPr>
        <w:t>万元)增加</w:t>
      </w:r>
      <w:r>
        <w:rPr>
          <w:rFonts w:hint="eastAsia" w:ascii="仿宋" w:hAnsi="仿宋" w:eastAsia="仿宋"/>
          <w:sz w:val="32"/>
          <w:szCs w:val="32"/>
          <w:u w:val="none"/>
          <w:lang w:val="en-US" w:eastAsia="zh-CN"/>
        </w:rPr>
        <w:t>79.57</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3,809.10万元</w:t>
      </w:r>
      <w:r>
        <w:rPr>
          <w:rFonts w:hint="eastAsia" w:ascii="仿宋" w:hAnsi="仿宋" w:eastAsia="仿宋"/>
          <w:sz w:val="32"/>
          <w:szCs w:val="32"/>
          <w:lang w:eastAsia="zh-CN"/>
        </w:rPr>
        <w:t>，</w:t>
      </w:r>
      <w:r>
        <w:rPr>
          <w:rFonts w:hint="eastAsia" w:ascii="仿宋" w:hAnsi="仿宋" w:eastAsia="仿宋"/>
          <w:sz w:val="32"/>
          <w:szCs w:val="32"/>
          <w:lang w:val="en-US" w:eastAsia="zh-CN"/>
        </w:rPr>
        <w:t>占86%；</w:t>
      </w:r>
      <w:r>
        <w:rPr>
          <w:rFonts w:hint="eastAsia" w:ascii="仿宋" w:hAnsi="仿宋" w:eastAsia="仿宋"/>
          <w:sz w:val="32"/>
          <w:szCs w:val="32"/>
        </w:rPr>
        <w:t>社会保障和就业支出345.93万元</w:t>
      </w:r>
      <w:r>
        <w:rPr>
          <w:rFonts w:hint="eastAsia" w:ascii="仿宋" w:hAnsi="仿宋" w:eastAsia="仿宋"/>
          <w:sz w:val="32"/>
          <w:szCs w:val="32"/>
          <w:lang w:eastAsia="zh-CN"/>
        </w:rPr>
        <w:t>，</w:t>
      </w:r>
      <w:r>
        <w:rPr>
          <w:rFonts w:hint="eastAsia" w:ascii="仿宋" w:hAnsi="仿宋" w:eastAsia="仿宋"/>
          <w:sz w:val="32"/>
          <w:szCs w:val="32"/>
          <w:lang w:val="en-US" w:eastAsia="zh-CN"/>
        </w:rPr>
        <w:t>占8%；</w:t>
      </w:r>
      <w:r>
        <w:rPr>
          <w:rFonts w:hint="eastAsia" w:ascii="仿宋" w:hAnsi="仿宋" w:eastAsia="仿宋"/>
          <w:sz w:val="32"/>
          <w:szCs w:val="32"/>
        </w:rPr>
        <w:t>卫生健康支出178.64万元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住房保障支出110.00万元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p>
    <w:p w14:paraId="1A6130AC">
      <w:pPr>
        <w:rPr>
          <w:rFonts w:hint="eastAsia" w:ascii="仿宋" w:hAnsi="仿宋" w:eastAsia="仿宋"/>
          <w:sz w:val="32"/>
          <w:szCs w:val="32"/>
        </w:rPr>
      </w:pPr>
      <w:r>
        <w:drawing>
          <wp:inline distT="0" distB="0" distL="114300" distR="114300">
            <wp:extent cx="4919980" cy="1974850"/>
            <wp:effectExtent l="5080" t="4445" r="8890"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1.教育支出（类）普通教育（款）小学教育（项）2025年预算数为3,791.34万元，2024年执行数为3743.38万元，比2024年预算数增加47.96万元，上升1.28%。主要原因为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2.教育支出（类）普通教育（款）其他普通教育支出（项）2025年预算数为17.76万元，2024年执行数为0.00万元,比2024年预算数增加17.76万元，增加100%。主要原因是其他长聘人员经费。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3.社会保障和就业支出（类）行政事业单位养老支出（款）机关事业单位基本养老保险缴费支出（项）2025年预算数为333.91万元，2024年执行数为346.98万元，比2024年预算数减少13.07万元，下降3.76%。主要原因为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4.社会保障和就业支出（类）财政对其他社会保险基金的补助（款）财政对失业保险基金的补助（项）2025年预算数为9.96万元，2024年执行数为9.79万元，比2024年预算数增加0.17万元，上升1.73%。主要原因为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5.社会保障和就业支出（类）财政对其他社会保险基金的补助（款）财政对工伤保险基金的补助（项）2025年预算数为2.07万元，2024年执行数为1.96万元，比2024年预算数增加0.11万元，上升5.61%。主要原因为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6.卫生健康支出（类）行政事业单位医疗（款）事业单位医疗（款）2025年预算数为162.08万元，2024年执行数为0.00万元，比2024年预算数增加162.08万元，增加100%。主要原因为人员经费正常保障。</w:t>
      </w:r>
    </w:p>
    <w:p w14:paraId="6620B7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16.56万元，2024年执行数为0.00万元，比2024年预算数增加16.56万元，增加100%。主要原因2024年医疗保险预算功能科目为财政对职工基本医疗保险基金的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8.住房保障支出（类）住房改革支出（款）住房公积金（项）2025年预算数为110万元，2024年执行数为104.93万元，比2024年预算数增加5.07万元，增加4.83%。主要原因为人员经费正常保障。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4442.67</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4,096.65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346.01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E9F683C"/>
    <w:rsid w:val="2FB27C17"/>
    <w:rsid w:val="3071362F"/>
    <w:rsid w:val="33EB36F8"/>
    <w:rsid w:val="380A05F1"/>
    <w:rsid w:val="3F3C12AC"/>
    <w:rsid w:val="417E5BAB"/>
    <w:rsid w:val="470703F1"/>
    <w:rsid w:val="47947ED7"/>
    <w:rsid w:val="47C6205A"/>
    <w:rsid w:val="48B16866"/>
    <w:rsid w:val="4D1D271C"/>
    <w:rsid w:val="4F455F5A"/>
    <w:rsid w:val="4FA40ED3"/>
    <w:rsid w:val="549C661D"/>
    <w:rsid w:val="58BA3515"/>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20(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(8).xlsx]一般公共预算支出表2'!$L$8:$L$11</c:f>
              <c:strCache>
                <c:ptCount val="4"/>
                <c:pt idx="0">
                  <c:v>教育支出</c:v>
                </c:pt>
                <c:pt idx="1">
                  <c:v>社会保障和就业支出</c:v>
                </c:pt>
                <c:pt idx="2">
                  <c:v>卫生健康支出</c:v>
                </c:pt>
                <c:pt idx="3">
                  <c:v>住房公积金</c:v>
                </c:pt>
              </c:strCache>
            </c:strRef>
          </c:cat>
          <c:val>
            <c:numRef>
              <c:f>'[部门预算公开表 (8).xlsx]一般公共预算支出表2'!$M$8:$M$11</c:f>
              <c:numCache>
                <c:formatCode>#,##0.00</c:formatCode>
                <c:ptCount val="4"/>
                <c:pt idx="0">
                  <c:v>3809.1</c:v>
                </c:pt>
                <c:pt idx="1" c:formatCode="General">
                  <c:v>345.93</c:v>
                </c:pt>
                <c:pt idx="2" c:formatCode="General">
                  <c:v>178.64</c:v>
                </c:pt>
                <c:pt idx="3" c:formatCode="0.00_ ">
                  <c:v>110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f24403-92b9-4bbb-a5c6-a4c19b206b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a:t>
            </a:r>
            <a:r>
              <a:t>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(8).xlsx]一般公共预算支出表2'!$L$8:$L$11</c:f>
              <c:strCache>
                <c:ptCount val="4"/>
                <c:pt idx="0">
                  <c:v>教育支出</c:v>
                </c:pt>
                <c:pt idx="1">
                  <c:v>社会保障和就业支出</c:v>
                </c:pt>
                <c:pt idx="2">
                  <c:v>卫生健康支出</c:v>
                </c:pt>
                <c:pt idx="3">
                  <c:v>住房公积金</c:v>
                </c:pt>
              </c:strCache>
            </c:strRef>
          </c:cat>
          <c:val>
            <c:numRef>
              <c:f>'[部门预算公开表 (8).xlsx]一般公共预算支出表2'!$M$8:$M$11</c:f>
              <c:numCache>
                <c:formatCode>#,##0.00</c:formatCode>
                <c:ptCount val="4"/>
                <c:pt idx="0">
                  <c:v>3809.1</c:v>
                </c:pt>
                <c:pt idx="1" c:formatCode="General">
                  <c:v>345.93</c:v>
                </c:pt>
                <c:pt idx="2" c:formatCode="General">
                  <c:v>178.64</c:v>
                </c:pt>
                <c:pt idx="3" c:formatCode="0.00_ ">
                  <c:v>110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f24403-92b9-4bbb-a5c6-a4c19b206b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3265</Words>
  <Characters>3714</Characters>
  <Lines>27</Lines>
  <Paragraphs>7</Paragraphs>
  <TotalTime>5</TotalTime>
  <ScaleCrop>false</ScaleCrop>
  <LinksUpToDate>false</LinksUpToDate>
  <CharactersWithSpaces>3733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微信用户</cp:lastModifiedBy>
  <cp:lastPrinted>2021-01-27T11:28:00Z</cp:lastPrinted>
  <dcterms:modified xsi:type="dcterms:W3CDTF">2025-02-10T10:44:54Z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CC956404C3EC414F980EB382A862B275_13</vt:lpwstr>
  </property>
</Properties>
</file>